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AC" w:rsidRDefault="00F12ED0">
      <w:pPr>
        <w:pStyle w:val="ab"/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>ПОЯСНИТЕЛЬНАЯ ЗАПИСКА</w:t>
      </w:r>
    </w:p>
    <w:p w:rsidR="00A25AAC" w:rsidRDefault="00F12ED0">
      <w:pPr>
        <w:pStyle w:val="ab"/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>к отчёту об исполнении муниципального района «Чаа-Хольский кожу</w:t>
      </w:r>
      <w:r w:rsidR="00315623">
        <w:rPr>
          <w:b/>
        </w:rPr>
        <w:t>ун Республики Тыва» за  2024 год</w:t>
      </w:r>
    </w:p>
    <w:p w:rsidR="00A25AAC" w:rsidRDefault="00A25AAC">
      <w:pPr>
        <w:pStyle w:val="ab"/>
        <w:shd w:val="clear" w:color="auto" w:fill="FFFFFF"/>
        <w:spacing w:after="0"/>
        <w:jc w:val="center"/>
        <w:textAlignment w:val="top"/>
        <w:rPr>
          <w:b/>
        </w:rPr>
      </w:pPr>
    </w:p>
    <w:p w:rsidR="00D000D9" w:rsidRPr="00D000D9" w:rsidRDefault="00F12ED0" w:rsidP="00D000D9">
      <w:pPr>
        <w:pStyle w:val="ab"/>
        <w:numPr>
          <w:ilvl w:val="0"/>
          <w:numId w:val="1"/>
        </w:numPr>
        <w:shd w:val="clear" w:color="auto" w:fill="FFFFFF"/>
        <w:jc w:val="center"/>
        <w:textAlignment w:val="top"/>
        <w:rPr>
          <w:b/>
        </w:rPr>
      </w:pPr>
      <w:r>
        <w:rPr>
          <w:b/>
        </w:rPr>
        <w:t>Исполнение доходн</w:t>
      </w:r>
      <w:r w:rsidR="00D000D9">
        <w:rPr>
          <w:b/>
        </w:rPr>
        <w:t>ой части муниципального бюджета</w:t>
      </w:r>
      <w:r>
        <w:rPr>
          <w:b/>
        </w:rPr>
        <w:t>.</w:t>
      </w:r>
    </w:p>
    <w:p w:rsidR="00D000D9" w:rsidRPr="00D000D9" w:rsidRDefault="00D000D9" w:rsidP="00D000D9">
      <w:pPr>
        <w:ind w:firstLine="709"/>
        <w:contextualSpacing/>
        <w:jc w:val="both"/>
      </w:pPr>
      <w:r w:rsidRPr="00D000D9">
        <w:rPr>
          <w:rFonts w:eastAsia="Calibri"/>
        </w:rPr>
        <w:t xml:space="preserve">За 2024 год плановые назначения </w:t>
      </w:r>
      <w:r w:rsidRPr="00D000D9">
        <w:rPr>
          <w:rFonts w:eastAsia="Calibri"/>
          <w:b/>
        </w:rPr>
        <w:t>налоговых и неналоговых доходов</w:t>
      </w:r>
      <w:r w:rsidRPr="00D000D9">
        <w:rPr>
          <w:rFonts w:eastAsia="Calibri"/>
        </w:rPr>
        <w:t xml:space="preserve">  бюджета муниципального района </w:t>
      </w:r>
      <w:r w:rsidRPr="00D000D9">
        <w:rPr>
          <w:rFonts w:eastAsia="Calibri"/>
          <w:i/>
        </w:rPr>
        <w:t xml:space="preserve">«Чаа-Хольский кожуун Республики Тыва » </w:t>
      </w:r>
      <w:r w:rsidRPr="00D000D9">
        <w:rPr>
          <w:rFonts w:eastAsia="Calibri"/>
        </w:rPr>
        <w:t xml:space="preserve">исполнены на 100 %  при  уточненном плане    </w:t>
      </w:r>
      <w:r w:rsidRPr="00D000D9">
        <w:rPr>
          <w:rFonts w:eastAsia="Calibri"/>
        </w:rPr>
        <w:softHyphen/>
      </w:r>
      <w:r w:rsidRPr="00D000D9">
        <w:rPr>
          <w:rFonts w:eastAsia="Calibri"/>
        </w:rPr>
        <w:softHyphen/>
      </w:r>
      <w:r w:rsidRPr="00D000D9">
        <w:rPr>
          <w:rFonts w:eastAsia="Calibri"/>
        </w:rPr>
        <w:softHyphen/>
      </w:r>
      <w:r w:rsidRPr="00D000D9">
        <w:rPr>
          <w:rFonts w:eastAsia="Calibri"/>
        </w:rPr>
        <w:softHyphen/>
        <w:t xml:space="preserve"> 41 088 тыс. рублей поступило  41 088,5 тыс. рублей. </w:t>
      </w:r>
      <w:r w:rsidRPr="00D000D9">
        <w:t>По сравнению с прошлым   2023 годом</w:t>
      </w:r>
      <w:r w:rsidRPr="00D000D9">
        <w:rPr>
          <w:rFonts w:eastAsia="Calibri"/>
        </w:rPr>
        <w:t xml:space="preserve"> </w:t>
      </w:r>
      <w:r w:rsidRPr="00D000D9">
        <w:t xml:space="preserve">наблюдается увеличение поступлений на </w:t>
      </w:r>
      <w:r w:rsidRPr="00D000D9">
        <w:softHyphen/>
      </w:r>
      <w:r w:rsidRPr="00D000D9">
        <w:softHyphen/>
      </w:r>
      <w:r w:rsidRPr="00D000D9">
        <w:softHyphen/>
        <w:t xml:space="preserve"> 7 884,8  тыс. рублей или на 1,23.  Утвержденный годовой план составил в размере 39 147  тыс. рублей или план выполнен на 105 %   </w:t>
      </w:r>
      <w:r>
        <w:t>(+</w:t>
      </w:r>
      <w:r w:rsidRPr="00D000D9">
        <w:t>1 941,5  тыс. рублей). Основными источниками  перевыполнения являются  такие доходные источники как: налог на доходы физических лиц, государственная пошлина, аренда земли, аренда муниципального имуществ</w:t>
      </w:r>
      <w:proofErr w:type="gramStart"/>
      <w:r w:rsidRPr="00D000D9">
        <w:t>а(</w:t>
      </w:r>
      <w:proofErr w:type="gramEnd"/>
      <w:r w:rsidRPr="00D000D9">
        <w:t xml:space="preserve"> за счет недоимки) и продажа земельных участков.</w:t>
      </w:r>
    </w:p>
    <w:p w:rsidR="00D000D9" w:rsidRDefault="00D000D9" w:rsidP="00D000D9">
      <w:pPr>
        <w:autoSpaceDE w:val="0"/>
        <w:autoSpaceDN w:val="0"/>
        <w:adjustRightInd w:val="0"/>
        <w:ind w:firstLine="708"/>
        <w:jc w:val="both"/>
      </w:pPr>
      <w:r w:rsidRPr="00D000D9">
        <w:t>В структуре поступлений консолидированного бюджета</w:t>
      </w:r>
      <w:r w:rsidRPr="00D000D9">
        <w:rPr>
          <w:rFonts w:eastAsia="Calibri"/>
        </w:rPr>
        <w:t xml:space="preserve"> занимает </w:t>
      </w:r>
      <w:r w:rsidRPr="00D000D9">
        <w:t xml:space="preserve">налог на доходы физических лиц </w:t>
      </w:r>
      <w:r w:rsidR="00040872">
        <w:t>79 % (</w:t>
      </w:r>
      <w:r w:rsidRPr="00D000D9">
        <w:t>32 555,9  тыс. рублей), государственная пошлина  14,5 %  (2 827,3 тыс. рублей) акцизы на нефтепродукты 4,2</w:t>
      </w:r>
      <w:r w:rsidR="00040872">
        <w:t xml:space="preserve"> % (1 726,9 тыс. рублей) и </w:t>
      </w:r>
      <w:r w:rsidRPr="00D000D9">
        <w:t>аренда муниципального имущества, находящегося в собственности муниципального района  3,2 %   (1 315 тыс. рублей).</w:t>
      </w:r>
    </w:p>
    <w:p w:rsidR="00D000D9" w:rsidRPr="00D000D9" w:rsidRDefault="00D000D9" w:rsidP="00D000D9">
      <w:pPr>
        <w:autoSpaceDE w:val="0"/>
        <w:autoSpaceDN w:val="0"/>
        <w:adjustRightInd w:val="0"/>
        <w:ind w:firstLine="708"/>
        <w:jc w:val="both"/>
      </w:pPr>
      <w:r w:rsidRPr="00D000D9">
        <w:t xml:space="preserve">Крупными плательщиками кожууна являются такие организации, являются такие организации, как: 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t xml:space="preserve"> </w:t>
      </w:r>
      <w:r w:rsidRPr="00D000D9">
        <w:rPr>
          <w:sz w:val="22"/>
          <w:szCs w:val="22"/>
        </w:rPr>
        <w:t>Министерство внутренних дел по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 xml:space="preserve"> Прокуратура Чаа-Хольского района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 xml:space="preserve">Управление судебного департамента  РТ; 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>Главное управление министерства   РФ по делам гражданской обороны, ЧС и ликвидации после</w:t>
      </w:r>
      <w:r>
        <w:rPr>
          <w:sz w:val="22"/>
          <w:szCs w:val="22"/>
        </w:rPr>
        <w:t>дствий стихийных бедствий по РТ</w:t>
      </w:r>
      <w:r w:rsidRPr="00D000D9">
        <w:rPr>
          <w:sz w:val="22"/>
          <w:szCs w:val="22"/>
        </w:rPr>
        <w:t>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>ГБУ Республике Тыва  "</w:t>
      </w:r>
      <w:proofErr w:type="spellStart"/>
      <w:r w:rsidRPr="00D000D9">
        <w:rPr>
          <w:sz w:val="22"/>
          <w:szCs w:val="22"/>
        </w:rPr>
        <w:t>Соццентр</w:t>
      </w:r>
      <w:proofErr w:type="spellEnd"/>
      <w:r w:rsidRPr="00D000D9">
        <w:rPr>
          <w:sz w:val="22"/>
          <w:szCs w:val="22"/>
        </w:rPr>
        <w:t xml:space="preserve"> </w:t>
      </w:r>
      <w:proofErr w:type="spellStart"/>
      <w:r w:rsidRPr="00D000D9">
        <w:rPr>
          <w:sz w:val="22"/>
          <w:szCs w:val="22"/>
        </w:rPr>
        <w:t>Чаа-Хольск</w:t>
      </w:r>
      <w:proofErr w:type="spellEnd"/>
      <w:r w:rsidRPr="00D000D9">
        <w:rPr>
          <w:sz w:val="22"/>
          <w:szCs w:val="22"/>
        </w:rPr>
        <w:t>. кожууна;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>ГУП РТ "Управляющая  компания ТЭК-4"</w:t>
      </w:r>
      <w:proofErr w:type="gramStart"/>
      <w:r w:rsidRPr="00D000D9">
        <w:rPr>
          <w:sz w:val="22"/>
          <w:szCs w:val="22"/>
        </w:rPr>
        <w:t xml:space="preserve"> ;</w:t>
      </w:r>
      <w:proofErr w:type="gramEnd"/>
      <w:r w:rsidRPr="00D000D9">
        <w:rPr>
          <w:sz w:val="22"/>
          <w:szCs w:val="22"/>
        </w:rPr>
        <w:t xml:space="preserve"> 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>Управление Культуры Чаа-Хольского кожууна РТ: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sz w:val="22"/>
          <w:szCs w:val="22"/>
        </w:rPr>
        <w:t xml:space="preserve"> Управление Образования Чаа-Хольского кожууна</w:t>
      </w:r>
      <w:proofErr w:type="gramStart"/>
      <w:r w:rsidRPr="00D000D9">
        <w:rPr>
          <w:color w:val="000000"/>
          <w:sz w:val="22"/>
          <w:szCs w:val="22"/>
        </w:rPr>
        <w:t xml:space="preserve"> ;</w:t>
      </w:r>
      <w:proofErr w:type="gramEnd"/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 xml:space="preserve">МБОУ ООШ с </w:t>
      </w:r>
      <w:proofErr w:type="spellStart"/>
      <w:r w:rsidRPr="00D000D9">
        <w:rPr>
          <w:color w:val="000000"/>
          <w:sz w:val="22"/>
          <w:szCs w:val="22"/>
        </w:rPr>
        <w:t>Шанчы</w:t>
      </w:r>
      <w:proofErr w:type="spellEnd"/>
      <w:r w:rsidRPr="00D000D9">
        <w:rPr>
          <w:color w:val="000000"/>
          <w:sz w:val="22"/>
          <w:szCs w:val="22"/>
        </w:rPr>
        <w:t xml:space="preserve"> Чаа-Хольского кожууна;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МБДОУ д/с комбинированного вида "Солнышко"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МБДОУ д/с "</w:t>
      </w:r>
      <w:proofErr w:type="spellStart"/>
      <w:r w:rsidRPr="00D000D9">
        <w:rPr>
          <w:color w:val="000000"/>
          <w:sz w:val="22"/>
          <w:szCs w:val="22"/>
        </w:rPr>
        <w:t>Чодураа</w:t>
      </w:r>
      <w:proofErr w:type="spellEnd"/>
      <w:r w:rsidRPr="00D000D9">
        <w:rPr>
          <w:color w:val="000000"/>
          <w:sz w:val="22"/>
          <w:szCs w:val="22"/>
        </w:rPr>
        <w:t>"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МБДОУ я/с "</w:t>
      </w:r>
      <w:proofErr w:type="spellStart"/>
      <w:r w:rsidRPr="00D000D9">
        <w:rPr>
          <w:color w:val="000000"/>
          <w:sz w:val="22"/>
          <w:szCs w:val="22"/>
        </w:rPr>
        <w:t>Хунчугуш</w:t>
      </w:r>
      <w:proofErr w:type="spellEnd"/>
      <w:r w:rsidRPr="00D000D9">
        <w:rPr>
          <w:color w:val="000000"/>
          <w:sz w:val="22"/>
          <w:szCs w:val="22"/>
        </w:rPr>
        <w:t>"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МБОУ СОШ им. Кара-</w:t>
      </w:r>
      <w:proofErr w:type="spellStart"/>
      <w:r w:rsidRPr="00D000D9">
        <w:rPr>
          <w:color w:val="000000"/>
          <w:sz w:val="22"/>
          <w:szCs w:val="22"/>
        </w:rPr>
        <w:t>оол</w:t>
      </w:r>
      <w:proofErr w:type="spellEnd"/>
      <w:r w:rsidRPr="00D000D9">
        <w:rPr>
          <w:color w:val="000000"/>
          <w:sz w:val="22"/>
          <w:szCs w:val="22"/>
        </w:rPr>
        <w:t xml:space="preserve">  В.Х.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МБОУ СОШ с Ак-</w:t>
      </w:r>
      <w:proofErr w:type="spellStart"/>
      <w:r w:rsidRPr="00D000D9">
        <w:rPr>
          <w:color w:val="000000"/>
          <w:sz w:val="22"/>
          <w:szCs w:val="22"/>
        </w:rPr>
        <w:t>Дуруг</w:t>
      </w:r>
      <w:proofErr w:type="spellEnd"/>
      <w:r w:rsidRPr="00D000D9">
        <w:rPr>
          <w:color w:val="000000"/>
          <w:sz w:val="22"/>
          <w:szCs w:val="22"/>
        </w:rPr>
        <w:t xml:space="preserve"> Чаа-Хольского кожууна;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ГБУЗ "</w:t>
      </w:r>
      <w:proofErr w:type="spellStart"/>
      <w:r w:rsidRPr="00D000D9">
        <w:rPr>
          <w:color w:val="000000"/>
          <w:sz w:val="22"/>
          <w:szCs w:val="22"/>
        </w:rPr>
        <w:t>Чаа-Хольская</w:t>
      </w:r>
      <w:proofErr w:type="spellEnd"/>
      <w:r w:rsidRPr="00D000D9">
        <w:rPr>
          <w:color w:val="000000"/>
          <w:sz w:val="22"/>
          <w:szCs w:val="22"/>
        </w:rPr>
        <w:t xml:space="preserve"> ЦКБ";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 xml:space="preserve">ГБУ  ДО РТ спортивная школа им. </w:t>
      </w:r>
      <w:proofErr w:type="spellStart"/>
      <w:r w:rsidRPr="00D000D9">
        <w:rPr>
          <w:color w:val="000000"/>
          <w:sz w:val="22"/>
          <w:szCs w:val="22"/>
        </w:rPr>
        <w:t>С.М.Сарбакай</w:t>
      </w:r>
      <w:proofErr w:type="spellEnd"/>
      <w:r w:rsidRPr="00D000D9">
        <w:rPr>
          <w:color w:val="000000"/>
          <w:sz w:val="22"/>
          <w:szCs w:val="22"/>
        </w:rPr>
        <w:t>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УК и</w:t>
      </w:r>
      <w:proofErr w:type="gramStart"/>
      <w:r w:rsidRPr="00D000D9">
        <w:rPr>
          <w:color w:val="000000"/>
          <w:sz w:val="22"/>
          <w:szCs w:val="22"/>
        </w:rPr>
        <w:t xml:space="preserve"> </w:t>
      </w:r>
      <w:proofErr w:type="spellStart"/>
      <w:r w:rsidRPr="00D000D9">
        <w:rPr>
          <w:color w:val="000000"/>
          <w:sz w:val="22"/>
          <w:szCs w:val="22"/>
        </w:rPr>
        <w:t>И</w:t>
      </w:r>
      <w:proofErr w:type="spellEnd"/>
      <w:proofErr w:type="gramEnd"/>
      <w:r w:rsidRPr="00D000D9">
        <w:rPr>
          <w:color w:val="000000"/>
          <w:sz w:val="22"/>
          <w:szCs w:val="22"/>
        </w:rPr>
        <w:t xml:space="preserve"> МР Чаа-Хольский кожуун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МБУ УК ЦБС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Администрация Чаа-Хольского кожууна РТ;</w:t>
      </w:r>
    </w:p>
    <w:p w:rsidR="00D000D9" w:rsidRPr="00D000D9" w:rsidRDefault="00D000D9" w:rsidP="00D000D9">
      <w:pPr>
        <w:numPr>
          <w:ilvl w:val="0"/>
          <w:numId w:val="10"/>
        </w:numPr>
        <w:contextualSpacing/>
        <w:jc w:val="both"/>
        <w:rPr>
          <w:color w:val="000000"/>
          <w:sz w:val="22"/>
          <w:szCs w:val="22"/>
        </w:rPr>
      </w:pPr>
      <w:r w:rsidRPr="00D000D9">
        <w:rPr>
          <w:color w:val="000000"/>
          <w:sz w:val="22"/>
          <w:szCs w:val="22"/>
        </w:rPr>
        <w:t>УК и</w:t>
      </w:r>
      <w:proofErr w:type="gramStart"/>
      <w:r w:rsidRPr="00D000D9">
        <w:rPr>
          <w:color w:val="000000"/>
          <w:sz w:val="22"/>
          <w:szCs w:val="22"/>
        </w:rPr>
        <w:t xml:space="preserve"> </w:t>
      </w:r>
      <w:proofErr w:type="spellStart"/>
      <w:r w:rsidRPr="00D000D9">
        <w:rPr>
          <w:color w:val="000000"/>
          <w:sz w:val="22"/>
          <w:szCs w:val="22"/>
        </w:rPr>
        <w:t>И</w:t>
      </w:r>
      <w:proofErr w:type="spellEnd"/>
      <w:proofErr w:type="gramEnd"/>
      <w:r w:rsidRPr="00D000D9">
        <w:rPr>
          <w:color w:val="000000"/>
          <w:sz w:val="22"/>
          <w:szCs w:val="22"/>
        </w:rPr>
        <w:t xml:space="preserve"> МР Чаа-Хольский кожуун РТ.</w:t>
      </w:r>
    </w:p>
    <w:p w:rsidR="00D000D9" w:rsidRPr="00D000D9" w:rsidRDefault="00D000D9" w:rsidP="00D000D9">
      <w:pPr>
        <w:ind w:left="360"/>
        <w:jc w:val="both"/>
        <w:rPr>
          <w:color w:val="000000"/>
          <w:sz w:val="22"/>
          <w:szCs w:val="22"/>
        </w:rPr>
      </w:pP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       Выполнение плана за 2024 год в разрезе доходных источников выглядит следующим образом:</w:t>
      </w:r>
    </w:p>
    <w:p w:rsidR="00D000D9" w:rsidRPr="00D000D9" w:rsidRDefault="00D000D9" w:rsidP="00D000D9">
      <w:pPr>
        <w:ind w:firstLine="709"/>
        <w:jc w:val="both"/>
      </w:pPr>
      <w:r w:rsidRPr="00D000D9">
        <w:t xml:space="preserve">- </w:t>
      </w:r>
      <w:r w:rsidRPr="00D000D9">
        <w:rPr>
          <w:i/>
        </w:rPr>
        <w:t>по налогу на доходы физических лиц</w:t>
      </w:r>
      <w:r w:rsidRPr="00D000D9">
        <w:t xml:space="preserve"> поступило 32 555,9 тыс. рублей, при уточненном плане 32 556   тыс. рублей выполнение составило 100 %</w:t>
      </w:r>
      <w:r w:rsidRPr="00D000D9">
        <w:rPr>
          <w:b/>
        </w:rPr>
        <w:t xml:space="preserve">. </w:t>
      </w:r>
      <w:r w:rsidRPr="00D000D9">
        <w:t xml:space="preserve">Утвержденный план за 2024  год составил в размере 30 644  тыс. рублей план </w:t>
      </w:r>
      <w:r w:rsidRPr="00D000D9">
        <w:rPr>
          <w:b/>
        </w:rPr>
        <w:t xml:space="preserve">  </w:t>
      </w:r>
      <w:r w:rsidRPr="00D000D9">
        <w:t>выполнен на 106 %</w:t>
      </w:r>
      <w:r w:rsidRPr="00D000D9">
        <w:rPr>
          <w:b/>
        </w:rPr>
        <w:t xml:space="preserve"> </w:t>
      </w:r>
      <w:r w:rsidRPr="00D000D9">
        <w:t xml:space="preserve">или больше от плана   на 1 911,9 тыс. рублей. </w:t>
      </w:r>
    </w:p>
    <w:p w:rsidR="00D000D9" w:rsidRPr="00D000D9" w:rsidRDefault="00D000D9" w:rsidP="00D000D9">
      <w:pPr>
        <w:ind w:firstLine="567"/>
        <w:jc w:val="both"/>
      </w:pPr>
      <w:r w:rsidRPr="00D000D9">
        <w:t xml:space="preserve">      По сравнению с прошлым 2023  годом наблюдается увеличение поступлений на  6 555  тыс. рублей или связи с увеличением  с 01.01.2024 года увеличение минимальный  </w:t>
      </w:r>
      <w:proofErr w:type="gramStart"/>
      <w:r w:rsidRPr="00D000D9">
        <w:t>размер оплаты труда</w:t>
      </w:r>
      <w:proofErr w:type="gramEnd"/>
      <w:r w:rsidRPr="00D000D9">
        <w:t xml:space="preserve"> и увеличение зарплаты муниципальных служащих с 01.02.2024 года.</w:t>
      </w:r>
      <w:r w:rsidRPr="00D000D9">
        <w:rPr>
          <w:color w:val="FF0000"/>
        </w:rPr>
        <w:t xml:space="preserve"> </w:t>
      </w:r>
    </w:p>
    <w:p w:rsidR="00D000D9" w:rsidRPr="00D000D9" w:rsidRDefault="00D000D9" w:rsidP="00D000D9">
      <w:pPr>
        <w:ind w:firstLine="567"/>
        <w:jc w:val="both"/>
      </w:pPr>
      <w:r w:rsidRPr="00D000D9">
        <w:t xml:space="preserve">      Задолженность по налогу на доходы физических лиц  по состоянию на 01.01.2025  года  имеется по  МУП «Чаа-Холь источник» (186,6 тыс. рублей), ГБУЗ «</w:t>
      </w:r>
      <w:proofErr w:type="spellStart"/>
      <w:r w:rsidRPr="00D000D9">
        <w:t>Чаа-Хольская</w:t>
      </w:r>
      <w:proofErr w:type="spellEnd"/>
      <w:r w:rsidRPr="00D000D9">
        <w:t xml:space="preserve"> ЦКБ (354,6 тыс. рублей), СПК «</w:t>
      </w:r>
      <w:r w:rsidR="00040872">
        <w:t xml:space="preserve"> Арат» (</w:t>
      </w:r>
      <w:r w:rsidRPr="00D000D9">
        <w:t>17,6 тыс. рублей)  и ИП и физических лиц   в размере 1 964,5 тыс. рублей;</w:t>
      </w:r>
    </w:p>
    <w:p w:rsidR="00D000D9" w:rsidRPr="00D000D9" w:rsidRDefault="00D000D9" w:rsidP="00D000D9">
      <w:pPr>
        <w:ind w:firstLine="709"/>
        <w:jc w:val="both"/>
      </w:pPr>
      <w:r w:rsidRPr="00D000D9">
        <w:t xml:space="preserve">- </w:t>
      </w:r>
      <w:r w:rsidRPr="00D000D9">
        <w:rPr>
          <w:i/>
        </w:rPr>
        <w:t>по   акцизам на нефтепродукты</w:t>
      </w:r>
      <w:r w:rsidRPr="00D000D9">
        <w:t xml:space="preserve"> поступило 1 726,9  тыс. рублей при уточненном плане 1 727  тыс. рублей или 100 %.  При утвержденном плане 1 692  тыс. рублей план выполнен 102 % (+34,9 тыс. рублей).   По сравнению с 2023  годом  поступление больше на 1625 тыс. рублей, в связи с увеличением реализации нефтепродуктов. Норматив отчисления акцизов в 2024 году  было  0,0125 % или уменьшилась на 0,11% по сравнению с прошлым 2023 годом.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rPr>
          <w:i/>
        </w:rPr>
        <w:lastRenderedPageBreak/>
        <w:t xml:space="preserve">- по упрощенной системе налогообложения  </w:t>
      </w:r>
      <w:r w:rsidRPr="00D000D9">
        <w:t>поступил налог в размере 923,1 тыс. рублей при уточненном плане 923 тыс. рублей или  план исполнен на 100 %. Утвержденный план на 2024  год составил в размере  992     тыс. рублей план выполнен на 93 % (-68,9  тыс. рублей). Уменьшение поступлений по сравнению с 2023 годом составил на  1,42 (- 390,9 тыс. рублей).  Плательщиков данного налога в 2024 году составили 39 единиц, что по сравнении с 2023 годом больше на 1  единиц. «Нулевую» налоговую отчетность предоставили 16 плательщиков. Задолженность по налогу по состоянию на 01.01.2025 года составила всего 247,4 тыс. рублей (МУП «Чаа-Холь источник» и индивидуальные предприниматели);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>По единому налогу на вмененный доход  поступил налог в размере 17,1 тыс. рублей. Задолженность по  налогу составило в размере 25,9 тыс. рублей (2 ИП);</w:t>
      </w:r>
    </w:p>
    <w:p w:rsidR="00D000D9" w:rsidRPr="00D000D9" w:rsidRDefault="00D000D9" w:rsidP="00D000D9">
      <w:pPr>
        <w:ind w:firstLine="709"/>
        <w:jc w:val="both"/>
      </w:pPr>
      <w:proofErr w:type="gramStart"/>
      <w:r w:rsidRPr="00D000D9">
        <w:t xml:space="preserve">- </w:t>
      </w:r>
      <w:r w:rsidRPr="00D000D9">
        <w:rPr>
          <w:i/>
        </w:rPr>
        <w:t xml:space="preserve">по единому сельскохозяйственному налогу </w:t>
      </w:r>
      <w:r w:rsidRPr="00D000D9">
        <w:t xml:space="preserve">поступил налог в размере 78,9 тыс. рублей, при уточненном плане 79  тыс. рублей план выполнен на 100 %. Утвержденный план налога за 2024 год  составил в размере 95 тыс. рублей  или   план выполнен  на  83 %. По сравнению с прошлым 2023  годом наблюдается увеличение поступлений на 68 тыс. рублей или  на  2,52. </w:t>
      </w:r>
      <w:proofErr w:type="gramEnd"/>
    </w:p>
    <w:p w:rsidR="00D000D9" w:rsidRPr="00D000D9" w:rsidRDefault="00D000D9" w:rsidP="00D000D9">
      <w:pPr>
        <w:ind w:firstLine="709"/>
        <w:jc w:val="both"/>
      </w:pPr>
      <w:r w:rsidRPr="00D000D9">
        <w:t xml:space="preserve">В 2023 году плательщиков налога составили 32 единиц, в 2024 году 38 единиц (+6 ед.). «Нулевую» налоговую отчетность предоставлено 6 плательщиками налога. </w:t>
      </w:r>
    </w:p>
    <w:p w:rsidR="00D000D9" w:rsidRPr="00D000D9" w:rsidRDefault="00D000D9" w:rsidP="00D000D9">
      <w:pPr>
        <w:ind w:firstLine="709"/>
        <w:jc w:val="both"/>
      </w:pPr>
      <w:r w:rsidRPr="00D000D9">
        <w:t>Задолженность по состоянию на 01.01.25 года составила в размере 40,6 тыс. рублей (9 ИП и КФК);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-  по </w:t>
      </w:r>
      <w:r w:rsidRPr="00D000D9">
        <w:rPr>
          <w:i/>
        </w:rPr>
        <w:t xml:space="preserve">налогу, взимаемый в связи с применением патентной системы налогообложения, зачисляемый в бюджеты муниципальных районов </w:t>
      </w:r>
      <w:r w:rsidRPr="00D000D9">
        <w:t xml:space="preserve">поступило 415,1 тыс. рублей, при уточненном плане 415  тыс. рублей выполнение составило 100 %.  При утвержденном плане в размере 486 тыс. рублей план выполнен на 85 % (- 70,9 тыс. рублей).  Плательщиков налога в 2023 году составили 49 единиц, в 2024 году 53 единиц (+4 единиц). 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>Задолженность по налогу по состоянию на 01.01.2025 года составило в размере 50,4 тыс. рублей (7 предпринимателей);</w:t>
      </w:r>
    </w:p>
    <w:p w:rsidR="00D000D9" w:rsidRPr="00D000D9" w:rsidRDefault="00D000D9" w:rsidP="00D000D9">
      <w:pPr>
        <w:ind w:firstLine="709"/>
        <w:jc w:val="both"/>
      </w:pPr>
      <w:r w:rsidRPr="00D000D9">
        <w:t>-</w:t>
      </w:r>
      <w:r w:rsidRPr="00D000D9">
        <w:rPr>
          <w:b/>
        </w:rPr>
        <w:t xml:space="preserve"> </w:t>
      </w:r>
      <w:r w:rsidRPr="00D000D9">
        <w:rPr>
          <w:i/>
        </w:rPr>
        <w:t>по налогу на имущество организаций</w:t>
      </w:r>
      <w:r w:rsidRPr="00D000D9">
        <w:rPr>
          <w:b/>
        </w:rPr>
        <w:t xml:space="preserve"> </w:t>
      </w:r>
      <w:r w:rsidRPr="00D000D9">
        <w:t>поступление составило в размере  711,9 тыс. рублей, при уточненном плане 712 тыс. рублей выполнение составило 100 %. Утвержденный план налога составила в сумме 1 741 тыс. руб</w:t>
      </w:r>
      <w:r w:rsidR="00040872">
        <w:t>лей или план выполнен на 41 % (</w:t>
      </w:r>
      <w:r w:rsidRPr="00D000D9">
        <w:t>-1 029,1 тыс. рублей). По сравнению с 2023 годом увеличение поступлений на 155,4 тыс. рублей или 1,28. Снижение поступления налога связано с уменьшением остаточной стоимостью по причине выбытия основных средств,  в связи с их амортизацией.</w:t>
      </w:r>
    </w:p>
    <w:p w:rsidR="00D000D9" w:rsidRPr="00D000D9" w:rsidRDefault="00D000D9" w:rsidP="00D000D9">
      <w:pPr>
        <w:ind w:firstLine="709"/>
        <w:jc w:val="both"/>
      </w:pPr>
      <w:r w:rsidRPr="00D000D9">
        <w:t xml:space="preserve">Плательщиков налога на имущество организаций по кожууну  в 2024 году составили 35 единиц (-1 единиц). Остаточная стоимость недвижимого имущества составила 56 352 тыс. рублей с налоговой базой 49 510 тыс. рублей. 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>Крупными плательщиками налога  являются: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 xml:space="preserve">МБОУ СОШ с </w:t>
      </w:r>
      <w:proofErr w:type="spellStart"/>
      <w:r w:rsidRPr="00D000D9">
        <w:t>Булун</w:t>
      </w:r>
      <w:proofErr w:type="spellEnd"/>
      <w:r w:rsidRPr="00D000D9">
        <w:t>-Терек им. Кара-</w:t>
      </w:r>
      <w:proofErr w:type="spellStart"/>
      <w:r w:rsidRPr="00D000D9">
        <w:t>оол</w:t>
      </w:r>
      <w:proofErr w:type="spellEnd"/>
      <w:r w:rsidRPr="00D000D9">
        <w:t xml:space="preserve"> В.Х  Чаа-Хольского кожууна РТ;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 xml:space="preserve">МБОУ СОШ им. Ш.Ч. </w:t>
      </w:r>
      <w:proofErr w:type="spellStart"/>
      <w:r w:rsidRPr="00D000D9">
        <w:t>Сат</w:t>
      </w:r>
      <w:proofErr w:type="spellEnd"/>
      <w:r w:rsidRPr="00D000D9">
        <w:t xml:space="preserve"> </w:t>
      </w:r>
      <w:proofErr w:type="spellStart"/>
      <w:r w:rsidRPr="00D000D9">
        <w:t>с</w:t>
      </w:r>
      <w:proofErr w:type="gramStart"/>
      <w:r w:rsidRPr="00D000D9">
        <w:t>.Ч</w:t>
      </w:r>
      <w:proofErr w:type="gramEnd"/>
      <w:r w:rsidRPr="00D000D9">
        <w:t>аа</w:t>
      </w:r>
      <w:proofErr w:type="spellEnd"/>
      <w:r w:rsidRPr="00D000D9">
        <w:t>-Холь Чаа-Хольского кожууна РТ;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D000D9">
        <w:t>АО</w:t>
      </w:r>
      <w:r w:rsidRPr="00D000D9">
        <w:tab/>
      </w:r>
      <w:proofErr w:type="spellStart"/>
      <w:r w:rsidRPr="00D000D9">
        <w:t>Россети</w:t>
      </w:r>
      <w:proofErr w:type="spellEnd"/>
      <w:r w:rsidRPr="00D000D9">
        <w:t xml:space="preserve"> Сибирь  « </w:t>
      </w:r>
      <w:proofErr w:type="spellStart"/>
      <w:r w:rsidRPr="00D000D9">
        <w:t>Тываэнерго</w:t>
      </w:r>
      <w:proofErr w:type="spellEnd"/>
      <w:r w:rsidRPr="00D000D9">
        <w:t>»;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>АО Первая Башенная компания;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>ГБУЗ «</w:t>
      </w:r>
      <w:proofErr w:type="spellStart"/>
      <w:r w:rsidRPr="00D000D9">
        <w:t>Чаа-Хольская</w:t>
      </w:r>
      <w:proofErr w:type="spellEnd"/>
      <w:r w:rsidRPr="00D000D9">
        <w:t xml:space="preserve"> ЦКБ» РТ; 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 xml:space="preserve">МБОУ СОШ </w:t>
      </w:r>
      <w:proofErr w:type="spellStart"/>
      <w:r w:rsidRPr="00D000D9">
        <w:t>с</w:t>
      </w:r>
      <w:proofErr w:type="gramStart"/>
      <w:r w:rsidRPr="00D000D9">
        <w:t>.А</w:t>
      </w:r>
      <w:proofErr w:type="gramEnd"/>
      <w:r w:rsidRPr="00D000D9">
        <w:t>к-Дуруг</w:t>
      </w:r>
      <w:proofErr w:type="spellEnd"/>
      <w:r w:rsidRPr="00D000D9">
        <w:t xml:space="preserve">  с Ак-</w:t>
      </w:r>
      <w:proofErr w:type="spellStart"/>
      <w:r w:rsidRPr="00D000D9">
        <w:t>Дуруг</w:t>
      </w:r>
      <w:proofErr w:type="spellEnd"/>
      <w:r w:rsidRPr="00D000D9">
        <w:t xml:space="preserve">  Чаа-Хольского кожууна РТ;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>Администрация Чаа-Хольского кожууна РТ;</w:t>
      </w:r>
    </w:p>
    <w:p w:rsidR="00D000D9" w:rsidRPr="00D000D9" w:rsidRDefault="00D000D9" w:rsidP="00D000D9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D000D9">
        <w:t>МБДОУ детский сад «</w:t>
      </w:r>
      <w:proofErr w:type="spellStart"/>
      <w:r w:rsidRPr="00D000D9">
        <w:t>Чодураа</w:t>
      </w:r>
      <w:proofErr w:type="spellEnd"/>
      <w:r w:rsidRPr="00D000D9">
        <w:t xml:space="preserve">» </w:t>
      </w:r>
      <w:proofErr w:type="spellStart"/>
      <w:r w:rsidRPr="00D000D9">
        <w:t>с</w:t>
      </w:r>
      <w:proofErr w:type="gramStart"/>
      <w:r w:rsidRPr="00D000D9">
        <w:t>.Ч</w:t>
      </w:r>
      <w:proofErr w:type="gramEnd"/>
      <w:r w:rsidRPr="00D000D9">
        <w:t>аа</w:t>
      </w:r>
      <w:proofErr w:type="spellEnd"/>
      <w:r w:rsidRPr="00D000D9">
        <w:t>-Холь Чаа-Хольского кожууна РТ;</w:t>
      </w:r>
    </w:p>
    <w:p w:rsidR="00D000D9" w:rsidRPr="00D000D9" w:rsidRDefault="00D000D9" w:rsidP="00D000D9">
      <w:pPr>
        <w:ind w:firstLine="1276"/>
        <w:jc w:val="both"/>
      </w:pP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- </w:t>
      </w:r>
      <w:r w:rsidRPr="00D000D9">
        <w:rPr>
          <w:i/>
        </w:rPr>
        <w:t>по государственной пошлине</w:t>
      </w:r>
      <w:r w:rsidRPr="00D000D9">
        <w:rPr>
          <w:b/>
        </w:rPr>
        <w:t xml:space="preserve"> </w:t>
      </w:r>
      <w:r w:rsidRPr="00D000D9">
        <w:t xml:space="preserve">поступило пошлин в размере  2 827,3  тыс. рублей, при  уточненном плане 2 827   тыс. рублей выполнение составило 100 %.  По сравнению с  2023  годом наблюдается увеличение   поступлений на  1 340,2    тыс. рублей или на 1.9. Поступление госпошлины  связано с увеличением суммы госпошлины и   исков  о взыскании задолженности, обращения  в суды общей юрисдикции и мировые  суды. Утвержденный план  составил  1 742  тыс. рублей или     на </w:t>
      </w:r>
      <w:r w:rsidR="00040872">
        <w:t>1,62   (</w:t>
      </w:r>
      <w:r w:rsidRPr="00D000D9">
        <w:t>+1 085,3 тыс. рублей)  больше от утвержденного плана за 2024 год;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>-</w:t>
      </w:r>
      <w:r w:rsidRPr="00D000D9">
        <w:rPr>
          <w:b/>
        </w:rPr>
        <w:t xml:space="preserve"> </w:t>
      </w:r>
      <w:r w:rsidRPr="00D000D9">
        <w:rPr>
          <w:i/>
        </w:rPr>
        <w:t>по аренде земли</w:t>
      </w:r>
      <w:r w:rsidRPr="00D000D9">
        <w:t xml:space="preserve"> поступило платы в размере 1 184,8 тыс. рублей, при уточненном плане 1 185 тыс. рублей выполнение составило 100 %</w:t>
      </w:r>
      <w:r w:rsidRPr="00D000D9">
        <w:rPr>
          <w:b/>
        </w:rPr>
        <w:t xml:space="preserve">. </w:t>
      </w:r>
      <w:r w:rsidRPr="00D000D9">
        <w:t>По сравнению с прошлым 2023 годом наблюдается уменьшение   поступлений на 96,7  тыс. рублей или  меньше  на  1,08. Утвержденный план  (1 078  тыс. рублей</w:t>
      </w:r>
      <w:proofErr w:type="gramStart"/>
      <w:r w:rsidRPr="00D000D9">
        <w:t xml:space="preserve"> )</w:t>
      </w:r>
      <w:proofErr w:type="gramEnd"/>
      <w:r w:rsidRPr="00D000D9">
        <w:t xml:space="preserve"> исполнен на 110 % (+106,8 тыс. рублей)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lastRenderedPageBreak/>
        <w:t>За 2024 год предоставлено в аренду 158 земельных участков на сумму 654,9 тыс. рублей с общей площадью 2 944,4  га.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Задолженность арендаторов земельных участков по состоянию на 01.01.2025 года составило в размере 849,6  тыс. рублей (48 единиц). Задолженность крупного плательщика   </w:t>
      </w:r>
      <w:proofErr w:type="spellStart"/>
      <w:r w:rsidRPr="00D000D9">
        <w:t>Бартына</w:t>
      </w:r>
      <w:proofErr w:type="spellEnd"/>
      <w:r w:rsidRPr="00D000D9">
        <w:t xml:space="preserve">-Сады В.М. задолженность по аренде составила в размере 450,8 тыс. рублей. Договора на 4 земельные участки заключены с 1 июня 2017 года по настоящее время.  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Неблагоприятные погодные условия в 2024 году засухой и поздней  поставки  семян зерновых культур с Министерства сельского хозяйства  Республики Тыва  </w:t>
      </w:r>
      <w:r w:rsidR="00040872">
        <w:rPr>
          <w:bCs/>
          <w:color w:val="000000"/>
          <w:shd w:val="clear" w:color="auto" w:fill="FFFFFF"/>
        </w:rPr>
        <w:t>не позволили трем  (</w:t>
      </w:r>
      <w:r w:rsidRPr="00D000D9">
        <w:rPr>
          <w:bCs/>
          <w:color w:val="000000"/>
          <w:shd w:val="clear" w:color="auto" w:fill="FFFFFF"/>
        </w:rPr>
        <w:t>3) зернопроизводящим фермерам  кожууна  получать урожай осенью 2024 года. Задолженность крестьянско-фермерских хозяйства (КФХ) составила в размере 77,6  тыс. рублей.</w:t>
      </w:r>
      <w:r w:rsidRPr="00D000D9">
        <w:t xml:space="preserve"> 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 Задолженность по аренде земли умерших граждан </w:t>
      </w:r>
      <w:r w:rsidR="00040872">
        <w:t>71,3 тыс. рублей (</w:t>
      </w:r>
      <w:r w:rsidRPr="00D000D9">
        <w:t xml:space="preserve">8 единиц, ст.617 ГК РФ – смерть арендатора не является основанием для расторжения договора.). </w:t>
      </w:r>
    </w:p>
    <w:p w:rsidR="00D000D9" w:rsidRPr="00D000D9" w:rsidRDefault="00D000D9" w:rsidP="00D000D9">
      <w:pPr>
        <w:jc w:val="both"/>
        <w:rPr>
          <w:rFonts w:ascii="Calibri" w:hAnsi="Calibri" w:cs="Calibri"/>
          <w:b/>
          <w:bCs/>
        </w:rPr>
      </w:pPr>
      <w:r w:rsidRPr="00D000D9">
        <w:tab/>
        <w:t xml:space="preserve">Арендная плата за земельные участки устанавливается </w:t>
      </w:r>
      <w:proofErr w:type="gramStart"/>
      <w:r w:rsidRPr="00D000D9">
        <w:t>согласно</w:t>
      </w:r>
      <w:proofErr w:type="gramEnd"/>
      <w:r w:rsidRPr="00D000D9">
        <w:t xml:space="preserve"> Федерального закона от 29.07.1998 г. № 135-ФЗ «Об оценочной деятельности в Российской Федерации» независимым оценщиком;</w:t>
      </w:r>
    </w:p>
    <w:p w:rsidR="00D000D9" w:rsidRPr="00D000D9" w:rsidRDefault="00D000D9" w:rsidP="00D000D9">
      <w:pPr>
        <w:autoSpaceDE w:val="0"/>
        <w:autoSpaceDN w:val="0"/>
        <w:adjustRightInd w:val="0"/>
        <w:ind w:firstLine="567"/>
        <w:jc w:val="both"/>
      </w:pPr>
      <w:r w:rsidRPr="00D000D9">
        <w:t xml:space="preserve">- </w:t>
      </w:r>
      <w:r w:rsidRPr="00D000D9">
        <w:rPr>
          <w:i/>
        </w:rPr>
        <w:t>по</w:t>
      </w:r>
      <w:r w:rsidRPr="00D000D9">
        <w:rPr>
          <w:b/>
        </w:rPr>
        <w:t xml:space="preserve"> </w:t>
      </w:r>
      <w:r w:rsidRPr="00D000D9">
        <w:rPr>
          <w:i/>
        </w:rPr>
        <w:t>аренде муниципального имущества поступила</w:t>
      </w:r>
      <w:r w:rsidRPr="00D000D9">
        <w:t xml:space="preserve"> плата в размере 130,2 тыс. рублей, при уточенном плане 130 тыс. рублей или план исполнен на 100 %.  Утвержденный план </w:t>
      </w:r>
      <w:r w:rsidR="00040872">
        <w:t xml:space="preserve"> (</w:t>
      </w:r>
      <w:r w:rsidRPr="00D000D9">
        <w:t>147</w:t>
      </w:r>
      <w:r w:rsidR="00040872">
        <w:t xml:space="preserve"> тыс. рублей</w:t>
      </w:r>
      <w:r w:rsidRPr="00D000D9">
        <w:t xml:space="preserve">) выполнен  на 90 </w:t>
      </w:r>
      <w:r w:rsidR="00040872">
        <w:t>% (</w:t>
      </w:r>
      <w:r w:rsidRPr="00D000D9">
        <w:t xml:space="preserve">-16,8 тыс. рублей). В 2024 году Администрация Чаа-Хольского кожууна заключила договор с 4 арендаторами муниципального имущества на сумму 154,6  тыс. рублей с общей площадью 86,5  кв. м. Поступление аренды имущества по сравнению с 2024 годом меньше на 59,5  тыс. рублей или на 1,45. </w:t>
      </w:r>
    </w:p>
    <w:p w:rsidR="00D000D9" w:rsidRPr="00D000D9" w:rsidRDefault="00D000D9" w:rsidP="00D000D9">
      <w:pPr>
        <w:ind w:firstLine="709"/>
        <w:jc w:val="both"/>
      </w:pPr>
      <w:r w:rsidRPr="00D000D9">
        <w:t>Арендная плата помещений устанавливается по Постановлению администрации Чаа-Хольского кожууна от 30.10.2014 г. № 465 «О внесении изменений в Положение о порядке определения размера арендной платы за пользование объектами муниципальной собственности Чаа-Хольского кожууна Республики Тыва, утвержденное постановлением администрации кожууна от 29.01.2010 г. № 6».</w:t>
      </w:r>
    </w:p>
    <w:p w:rsidR="00D000D9" w:rsidRPr="00D000D9" w:rsidRDefault="00D000D9" w:rsidP="00D000D9">
      <w:pPr>
        <w:ind w:firstLine="709"/>
        <w:jc w:val="both"/>
        <w:rPr>
          <w:color w:val="000000"/>
        </w:rPr>
      </w:pPr>
      <w:r w:rsidRPr="00D000D9">
        <w:t xml:space="preserve">-       </w:t>
      </w:r>
      <w:r w:rsidRPr="00D000D9">
        <w:rPr>
          <w:i/>
        </w:rPr>
        <w:t>по плате за негативное воздействие на окружающую среду</w:t>
      </w:r>
      <w:r w:rsidRPr="00D000D9">
        <w:t xml:space="preserve"> поступило                                                 76,4 тыс. рублей, при уточненном плане 76  тыс. рублей выполнение составило 100  % или на уровне 2023 года. Утвер</w:t>
      </w:r>
      <w:r w:rsidR="00040872">
        <w:t>жденный план выполнен на 88 % (</w:t>
      </w:r>
      <w:r w:rsidRPr="00D000D9">
        <w:t>-10,6 тыс.</w:t>
      </w:r>
      <w:r w:rsidR="00040872">
        <w:t xml:space="preserve"> </w:t>
      </w:r>
      <w:r w:rsidRPr="00D000D9">
        <w:t>рублей);</w:t>
      </w:r>
    </w:p>
    <w:p w:rsidR="00D000D9" w:rsidRPr="00D000D9" w:rsidRDefault="00D000D9" w:rsidP="00D000D9">
      <w:pPr>
        <w:ind w:firstLine="709"/>
        <w:jc w:val="both"/>
        <w:rPr>
          <w:color w:val="000000"/>
        </w:rPr>
      </w:pPr>
      <w:r w:rsidRPr="00D000D9">
        <w:rPr>
          <w:i/>
        </w:rPr>
        <w:t>Поступление платных услуг</w:t>
      </w:r>
      <w:r w:rsidRPr="00D000D9">
        <w:t xml:space="preserve"> в 2024 году  по муниципальному району в размере 10,3 тыс. рублей  возврат излишне перечисленных сумм субсидий, субвенций  и нецелевое назначение бюджетных средств. Утвержденный план платных услуг по муниципальному району на 2024 год не запланирован;</w:t>
      </w:r>
    </w:p>
    <w:p w:rsidR="00D000D9" w:rsidRPr="00D000D9" w:rsidRDefault="00D000D9" w:rsidP="00D000D9">
      <w:pPr>
        <w:ind w:firstLine="709"/>
        <w:jc w:val="both"/>
        <w:rPr>
          <w:color w:val="000000"/>
        </w:rPr>
      </w:pPr>
      <w:r w:rsidRPr="00D000D9">
        <w:t xml:space="preserve">- </w:t>
      </w:r>
      <w:r w:rsidRPr="00D000D9">
        <w:rPr>
          <w:i/>
        </w:rPr>
        <w:t xml:space="preserve">по </w:t>
      </w:r>
      <w:r w:rsidRPr="00D000D9">
        <w:rPr>
          <w:i/>
          <w:color w:val="000000"/>
        </w:rPr>
        <w:t xml:space="preserve">доходам от продажи земельных участков </w:t>
      </w:r>
      <w:r w:rsidRPr="00D000D9">
        <w:t>поступила плата в размере    276,2 тыс. рублей или   уточненный план  исполнен в полном объеме. Утвержденный план составил в сумме 229 тыс. рублей план исполнен на 120  % (+47,2  тыс. рублей). По сравнению с прошлым 2023 годом наблюдается увеличение поступлений на 31,3 тыс. рублей или на 1,12 .  В течение 2024 года выкуплены земельные участки 22 арендаторами с общей площадью 7,5  га</w:t>
      </w:r>
      <w:r w:rsidRPr="00D000D9">
        <w:rPr>
          <w:color w:val="000000"/>
        </w:rPr>
        <w:t xml:space="preserve">. </w:t>
      </w:r>
    </w:p>
    <w:p w:rsidR="00D000D9" w:rsidRPr="00D000D9" w:rsidRDefault="00D000D9" w:rsidP="00D000D9">
      <w:pPr>
        <w:ind w:firstLine="709"/>
        <w:jc w:val="both"/>
        <w:rPr>
          <w:color w:val="000000"/>
        </w:rPr>
      </w:pPr>
    </w:p>
    <w:tbl>
      <w:tblPr>
        <w:tblW w:w="10320" w:type="dxa"/>
        <w:tblInd w:w="108" w:type="dxa"/>
        <w:tblLook w:val="04A0" w:firstRow="1" w:lastRow="0" w:firstColumn="1" w:lastColumn="0" w:noHBand="0" w:noVBand="1"/>
      </w:tblPr>
      <w:tblGrid>
        <w:gridCol w:w="420"/>
        <w:gridCol w:w="10154"/>
      </w:tblGrid>
      <w:tr w:rsidR="00D000D9" w:rsidRPr="00D000D9" w:rsidTr="002965FF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0D9" w:rsidRPr="00D000D9" w:rsidRDefault="00D000D9" w:rsidP="00D000D9"/>
        </w:tc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0D9" w:rsidRPr="00D000D9" w:rsidRDefault="00D000D9" w:rsidP="00D000D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000D9">
              <w:rPr>
                <w:rFonts w:ascii="Calibri" w:hAnsi="Calibri" w:cs="Calibri"/>
                <w:b/>
                <w:bCs/>
                <w:color w:val="000000"/>
              </w:rPr>
              <w:t xml:space="preserve">           РЕЕСТР </w:t>
            </w:r>
            <w:proofErr w:type="spellStart"/>
            <w:r w:rsidRPr="00D000D9">
              <w:rPr>
                <w:rFonts w:ascii="Calibri" w:hAnsi="Calibri" w:cs="Calibri"/>
                <w:b/>
                <w:bCs/>
                <w:color w:val="000000"/>
              </w:rPr>
              <w:t>догоров</w:t>
            </w:r>
            <w:proofErr w:type="spellEnd"/>
            <w:r w:rsidRPr="00D000D9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gramStart"/>
            <w:r w:rsidRPr="00D000D9">
              <w:rPr>
                <w:rFonts w:ascii="Calibri" w:hAnsi="Calibri" w:cs="Calibri"/>
                <w:b/>
                <w:bCs/>
                <w:color w:val="000000"/>
              </w:rPr>
              <w:t>купили-продажи</w:t>
            </w:r>
            <w:proofErr w:type="gramEnd"/>
            <w:r w:rsidRPr="00D000D9">
              <w:rPr>
                <w:rFonts w:ascii="Calibri" w:hAnsi="Calibri" w:cs="Calibri"/>
                <w:b/>
                <w:bCs/>
                <w:color w:val="000000"/>
              </w:rPr>
              <w:t xml:space="preserve">  ЗУ в  2024 году по </w:t>
            </w:r>
            <w:proofErr w:type="spellStart"/>
            <w:r w:rsidRPr="00D000D9">
              <w:rPr>
                <w:rFonts w:ascii="Calibri" w:hAnsi="Calibri" w:cs="Calibri"/>
                <w:b/>
                <w:bCs/>
                <w:color w:val="000000"/>
              </w:rPr>
              <w:t>Чаа-Хольскому</w:t>
            </w:r>
            <w:proofErr w:type="spellEnd"/>
            <w:r w:rsidRPr="00D000D9">
              <w:rPr>
                <w:rFonts w:ascii="Calibri" w:hAnsi="Calibri" w:cs="Calibri"/>
                <w:b/>
                <w:bCs/>
                <w:color w:val="000000"/>
              </w:rPr>
              <w:t xml:space="preserve"> кожууну</w:t>
            </w:r>
          </w:p>
          <w:p w:rsidR="00D000D9" w:rsidRPr="00D000D9" w:rsidRDefault="00D000D9" w:rsidP="00D000D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tbl>
            <w:tblPr>
              <w:tblW w:w="9929" w:type="dxa"/>
              <w:tblLook w:val="04A0" w:firstRow="1" w:lastRow="0" w:firstColumn="1" w:lastColumn="0" w:noHBand="0" w:noVBand="1"/>
            </w:tblPr>
            <w:tblGrid>
              <w:gridCol w:w="400"/>
              <w:gridCol w:w="2406"/>
              <w:gridCol w:w="1682"/>
              <w:gridCol w:w="966"/>
              <w:gridCol w:w="2222"/>
              <w:gridCol w:w="141"/>
              <w:gridCol w:w="1005"/>
              <w:gridCol w:w="71"/>
              <w:gridCol w:w="894"/>
              <w:gridCol w:w="141"/>
            </w:tblGrid>
            <w:tr w:rsidR="00D000D9" w:rsidRPr="00D000D9" w:rsidTr="002965FF">
              <w:trPr>
                <w:trHeight w:val="756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ФИО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ВРИ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Площадь,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кв.м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Адрес земельного участка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Сумма договора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Дата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Монгуш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Аяс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Кырган-оолович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1099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-Холь ул.60 лет Октября д.29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27612,61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05.01.2024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Чулдум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Аржана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Андреевна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.А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к-Дуруг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ул.Сувак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дом 34а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36697,23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19.01.2024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Чымба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Ким Михайлович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вед 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2750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.Х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овухук</w:t>
                  </w:r>
                  <w:proofErr w:type="spellEnd"/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771,37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22.01.2024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Хунай-оол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Валерий Романович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вед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4831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.С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углуг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-Ой-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Аксы</w:t>
                  </w:r>
                  <w:proofErr w:type="spellEnd"/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1355,1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22.02.2024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Даваа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Аянмаа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Юрьевна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вед 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.Б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улун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-Терек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ул.Ленина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, д.24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1944,07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28.02.2024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Балчый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Орлан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Болатович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под объект торг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-Холь,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ул.Ленина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, 6б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31803,6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29.02.2024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Хайбан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Аксинья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Олчеевна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ведения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.А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к-Даг</w:t>
                  </w:r>
                  <w:proofErr w:type="spellEnd"/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2280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12.03.2024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Сагаан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Орлан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Маадыр-оолович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1295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-Холь,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ул.Горная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, д.1/1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36307,16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19.03.2024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Базырчап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Орлан-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оол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Тонгакович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ведение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5484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.С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углуг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-Ой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1817,95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02.04.2024</w:t>
                  </w:r>
                </w:p>
              </w:tc>
            </w:tr>
            <w:tr w:rsidR="00D000D9" w:rsidRPr="00D000D9" w:rsidTr="002965FF">
              <w:trPr>
                <w:trHeight w:val="432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Хунай-оол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Чаян Олегович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ведение огородничества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2393,65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07.05.2024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Норбу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Саяна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Сергеевна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ведение ЛПХ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23000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м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.Х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аялыг-Даг</w:t>
                  </w:r>
                  <w:proofErr w:type="spellEnd"/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2967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18.07.2024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Сырбыкай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Аржана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Орлановна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666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-Холь ул.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Даваа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Булан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2а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18799,26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18.07.2024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Сырбыкай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Аржана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Орлановна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с. Чаа-Холь, ул.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Даваа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Булан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2а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23.07.2024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>Норбу</w:t>
                  </w:r>
                  <w:proofErr w:type="spellEnd"/>
                  <w:r w:rsidRPr="00D000D9">
                    <w:rPr>
                      <w:rFonts w:ascii="Calibri" w:hAnsi="Calibri" w:cs="Calibri"/>
                      <w:sz w:val="18"/>
                      <w:szCs w:val="18"/>
                    </w:rPr>
                    <w:t xml:space="preserve"> Лариса Николаевна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с. Чаа-Холь, ул. </w:t>
                  </w:r>
                  <w:proofErr w:type="gram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Горная</w:t>
                  </w:r>
                  <w:proofErr w:type="gram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15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6373,69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07.08.2024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Чаштыг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Сайзаана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Маадыр-ооловна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709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-Холь, ул. Степная5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16494,17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28.08.2024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Улуг-Хува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Лариса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Дензеловна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1396,44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15.08.2024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Намзырай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Айлаш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Аркадьевна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-Холь,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ул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Горная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2967,53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05.09.2024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Солдуп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Мерген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Владимирович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1027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с. Чаа-Холь, ул.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Бавуу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Тюлюш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д. 15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23426,84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08.10.2024</w:t>
                  </w:r>
                </w:p>
              </w:tc>
            </w:tr>
            <w:tr w:rsidR="00D000D9" w:rsidRPr="00D000D9" w:rsidTr="002965FF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Даржай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Алдын-оол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Валерьевич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Вед ЛПХ </w:t>
                  </w:r>
                  <w:proofErr w:type="gram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на</w:t>
                  </w:r>
                  <w:proofErr w:type="gram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полевых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уч</w:t>
                  </w:r>
                  <w:proofErr w:type="spellEnd"/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25000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с.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Шанчы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, мест. "Ха-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Хаан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7432,5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28.11.2024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Куулар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Светлана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Опан-ооловна</w:t>
                  </w:r>
                  <w:proofErr w:type="spellEnd"/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840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</w:t>
                  </w:r>
                  <w:proofErr w:type="gram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.Ч</w:t>
                  </w:r>
                  <w:proofErr w:type="gram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аа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-Холь, ул.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Бавуу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Тюлюш</w:t>
                  </w:r>
                  <w:proofErr w:type="spellEnd"/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21863,47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04.12.2024</w:t>
                  </w:r>
                </w:p>
              </w:tc>
            </w:tr>
            <w:tr w:rsidR="00D000D9" w:rsidRPr="00D000D9" w:rsidTr="002965FF">
              <w:trPr>
                <w:trHeight w:val="28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Чымба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Урана Александровна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для ИЖС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1838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с. Чаа-Холь, ул. 60лет Октября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13696,6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17.12.2024</w:t>
                  </w:r>
                </w:p>
              </w:tc>
            </w:tr>
            <w:tr w:rsidR="00D000D9" w:rsidRPr="00D000D9" w:rsidTr="002965FF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000D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Чымба</w:t>
                  </w:r>
                  <w:proofErr w:type="spellEnd"/>
                  <w:r w:rsidRPr="00D000D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Урана Александровна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7802,6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25.12.2024</w:t>
                  </w:r>
                </w:p>
              </w:tc>
            </w:tr>
            <w:tr w:rsidR="00D000D9" w:rsidRPr="00D000D9" w:rsidTr="002965FF">
              <w:trPr>
                <w:gridAfter w:val="1"/>
                <w:wAfter w:w="141" w:type="dxa"/>
                <w:trHeight w:val="244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D000D9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Всего по кожууну: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75051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276202,84</w:t>
                  </w:r>
                </w:p>
              </w:tc>
              <w:tc>
                <w:tcPr>
                  <w:tcW w:w="9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00D9" w:rsidRPr="00D000D9" w:rsidRDefault="00D000D9" w:rsidP="00D000D9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D000D9">
                    <w:rPr>
                      <w:rFonts w:ascii="Calibri" w:hAnsi="Calibri" w:cs="Calibri"/>
                      <w:b/>
                      <w:color w:val="000000"/>
                    </w:rPr>
                    <w:t> </w:t>
                  </w:r>
                </w:p>
              </w:tc>
            </w:tr>
          </w:tbl>
          <w:p w:rsidR="00D000D9" w:rsidRPr="00D000D9" w:rsidRDefault="00D000D9" w:rsidP="00D000D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D000D9" w:rsidRPr="00D000D9" w:rsidRDefault="00D000D9" w:rsidP="00D000D9">
      <w:pPr>
        <w:jc w:val="both"/>
      </w:pPr>
      <w:r w:rsidRPr="00D000D9">
        <w:lastRenderedPageBreak/>
        <w:tab/>
      </w:r>
      <w:proofErr w:type="gramStart"/>
      <w:r w:rsidRPr="00D000D9">
        <w:t>Выкупная стоимость земельных участков для ИЖС с оформленными документы на объекты капитального строительства устанавливается согласно  Постановления Правительства РТ от 22.04.2016 №122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РТ, и земельных участков, государственная собственность на которые не разграничена, приобретаемых без проведения торгов, если иное не установлено федеральными законами».</w:t>
      </w:r>
      <w:proofErr w:type="gramEnd"/>
      <w:r w:rsidRPr="00D000D9">
        <w:t xml:space="preserve"> Стоимость новых образованных земельных участков для ведения ЛПХ устанавливаются, </w:t>
      </w:r>
      <w:proofErr w:type="gramStart"/>
      <w:r w:rsidRPr="00D000D9">
        <w:t>согласно</w:t>
      </w:r>
      <w:proofErr w:type="gramEnd"/>
      <w:r w:rsidRPr="00D000D9">
        <w:t xml:space="preserve"> Федерального закона от 29.07.1998г. № 135-ФЗ «Об оценочной деятельности в Российской Федерации» независимым оценщиком;</w:t>
      </w:r>
    </w:p>
    <w:p w:rsidR="00D000D9" w:rsidRPr="00D000D9" w:rsidRDefault="00D000D9" w:rsidP="00D000D9">
      <w:pPr>
        <w:ind w:firstLine="709"/>
        <w:jc w:val="both"/>
      </w:pPr>
      <w:r w:rsidRPr="00D000D9">
        <w:t xml:space="preserve">- </w:t>
      </w:r>
      <w:r w:rsidRPr="00D000D9">
        <w:rPr>
          <w:i/>
        </w:rPr>
        <w:t xml:space="preserve">по </w:t>
      </w:r>
      <w:r w:rsidRPr="00D000D9">
        <w:rPr>
          <w:i/>
          <w:color w:val="000000"/>
        </w:rPr>
        <w:t>штрафным санкциям</w:t>
      </w:r>
      <w:r w:rsidRPr="00D000D9">
        <w:t xml:space="preserve"> поступило штрафов в сумме 151,2 тыс. рублей, при уточненном плане 151 тыс. рублей или 100%. По сравнению с прошлым годом наблюдается уменьшение поступлений на 46,2 тыс. рублей или на 1,44.  Наибольшее поступление штрафных санкций  от</w:t>
      </w:r>
      <w:proofErr w:type="gramStart"/>
      <w:r w:rsidRPr="00D000D9">
        <w:t xml:space="preserve"> :</w:t>
      </w:r>
      <w:proofErr w:type="gramEnd"/>
    </w:p>
    <w:p w:rsidR="00D000D9" w:rsidRPr="00D000D9" w:rsidRDefault="00D000D9" w:rsidP="00D000D9">
      <w:pPr>
        <w:numPr>
          <w:ilvl w:val="0"/>
          <w:numId w:val="9"/>
        </w:numPr>
        <w:ind w:left="0" w:firstLine="1134"/>
        <w:contextualSpacing/>
        <w:jc w:val="both"/>
      </w:pPr>
      <w:r w:rsidRPr="00D000D9">
        <w:rPr>
          <w:i/>
        </w:rPr>
        <w:t>административных штрафов, установленные главой 7 Кодекса РФ за административные правонарушениях, за административные правонарушения   в области охраны собственности,  налагаемые мировыми судьями, комиссиями  по делам несовершеннолетних и защите  их прав – 66,4 тыс. рублей</w:t>
      </w:r>
      <w:r w:rsidRPr="00D000D9">
        <w:t>;</w:t>
      </w:r>
    </w:p>
    <w:p w:rsidR="00D000D9" w:rsidRPr="00D000D9" w:rsidRDefault="00D000D9" w:rsidP="00D000D9">
      <w:pPr>
        <w:numPr>
          <w:ilvl w:val="0"/>
          <w:numId w:val="9"/>
        </w:numPr>
        <w:ind w:left="0" w:firstLine="1134"/>
        <w:contextualSpacing/>
        <w:jc w:val="both"/>
      </w:pPr>
      <w:proofErr w:type="gramStart"/>
      <w:r w:rsidRPr="00D000D9">
        <w:rPr>
          <w:i/>
        </w:rPr>
        <w:t>административные штрафы, установленные главой 14 Кодекса РФ за административных  правонарушениях, за административные правонарушения   в области предпринимательской деятельности и деятельности саморегулируемых организаций, налагаемые мировыми судьями, комиссиями  по делам несовершеннолетних и защите их прав – 17,8 тыс. рублей</w:t>
      </w:r>
      <w:r w:rsidRPr="00D000D9">
        <w:t>;</w:t>
      </w:r>
      <w:proofErr w:type="gramEnd"/>
    </w:p>
    <w:p w:rsidR="00D000D9" w:rsidRPr="00D000D9" w:rsidRDefault="00D000D9" w:rsidP="00D000D9">
      <w:pPr>
        <w:numPr>
          <w:ilvl w:val="0"/>
          <w:numId w:val="9"/>
        </w:numPr>
        <w:ind w:left="0" w:firstLine="1134"/>
        <w:contextualSpacing/>
        <w:jc w:val="both"/>
      </w:pPr>
      <w:r w:rsidRPr="00D000D9">
        <w:rPr>
          <w:i/>
        </w:rPr>
        <w:t>иные штрафы и неустойки</w:t>
      </w:r>
      <w:proofErr w:type="gramStart"/>
      <w:r w:rsidRPr="00D000D9">
        <w:rPr>
          <w:i/>
        </w:rPr>
        <w:t xml:space="preserve"> ,</w:t>
      </w:r>
      <w:proofErr w:type="gramEnd"/>
      <w:r w:rsidRPr="00D000D9">
        <w:rPr>
          <w:i/>
        </w:rPr>
        <w:t xml:space="preserve"> пени уплаченные в соответствии с законом или договором в случае неисполнения и ненадлежащего исполнения обязательств перед муниципальным органом муниципального района  - 43,8 тыс. .рублей;</w:t>
      </w:r>
    </w:p>
    <w:p w:rsidR="00D000D9" w:rsidRPr="00D000D9" w:rsidRDefault="00D000D9" w:rsidP="00D000D9">
      <w:pPr>
        <w:ind w:firstLine="709"/>
        <w:jc w:val="both"/>
      </w:pPr>
      <w:r w:rsidRPr="00D000D9">
        <w:t xml:space="preserve">  Утвержденный план штрафных санкций выполнен на 98  % или  на 151,2 тыс. рублей.</w:t>
      </w:r>
    </w:p>
    <w:p w:rsidR="00D000D9" w:rsidRPr="00D000D9" w:rsidRDefault="00D000D9" w:rsidP="00D000D9">
      <w:pPr>
        <w:ind w:firstLine="567"/>
        <w:jc w:val="both"/>
        <w:rPr>
          <w:b/>
        </w:rPr>
      </w:pPr>
    </w:p>
    <w:p w:rsidR="00A25AAC" w:rsidRDefault="00A25AAC">
      <w:pPr>
        <w:pStyle w:val="ae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872" w:rsidRDefault="00040872">
      <w:pPr>
        <w:pStyle w:val="ae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5AAC" w:rsidRDefault="00A25AAC">
      <w:pPr>
        <w:ind w:firstLine="709"/>
        <w:jc w:val="both"/>
        <w:rPr>
          <w:b/>
        </w:rPr>
      </w:pPr>
    </w:p>
    <w:p w:rsidR="00A25AAC" w:rsidRDefault="00F12ED0">
      <w:pPr>
        <w:ind w:firstLine="709"/>
        <w:jc w:val="both"/>
      </w:pPr>
      <w:r>
        <w:rPr>
          <w:b/>
        </w:rPr>
        <w:lastRenderedPageBreak/>
        <w:t>2. Безвозмездные поступления муниципального бюджета Чаа-Хольского кожууна Республики Тыва</w:t>
      </w:r>
      <w:r>
        <w:t xml:space="preserve"> с учетом целевых субсидий, субвенций, иных межбю</w:t>
      </w:r>
      <w:r w:rsidR="00872E6F">
        <w:t>джетных трансфертов за 2024 год</w:t>
      </w:r>
      <w:r w:rsidR="00D22F29">
        <w:t xml:space="preserve"> исполнены в сумме</w:t>
      </w:r>
      <w:r w:rsidR="0083536A">
        <w:t xml:space="preserve"> 491197,9 тыс. рублей, или 99 </w:t>
      </w:r>
      <w:r w:rsidR="00D22F29">
        <w:t>%</w:t>
      </w:r>
      <w:r>
        <w:t xml:space="preserve"> от плана, в том числе по видам трансфертов:</w:t>
      </w:r>
    </w:p>
    <w:p w:rsidR="00A25AAC" w:rsidRDefault="00F12ED0">
      <w:pPr>
        <w:ind w:firstLine="709"/>
        <w:jc w:val="both"/>
      </w:pPr>
      <w:r>
        <w:t>- дотации исполнены в</w:t>
      </w:r>
      <w:r w:rsidR="00CB2572">
        <w:t xml:space="preserve"> сумме 145554</w:t>
      </w:r>
      <w:r>
        <w:t xml:space="preserve"> тыс. рублей;</w:t>
      </w:r>
    </w:p>
    <w:p w:rsidR="00A25AAC" w:rsidRDefault="00F12ED0">
      <w:pPr>
        <w:ind w:firstLine="709"/>
        <w:jc w:val="both"/>
      </w:pPr>
      <w:r>
        <w:t>- субв</w:t>
      </w:r>
      <w:r w:rsidR="00CB2572">
        <w:t>енции исполнены в сумме 278274,51</w:t>
      </w:r>
      <w:r>
        <w:t xml:space="preserve"> тыс. рублей;</w:t>
      </w:r>
    </w:p>
    <w:p w:rsidR="00A25AAC" w:rsidRDefault="00F12ED0">
      <w:pPr>
        <w:ind w:firstLine="709"/>
        <w:jc w:val="both"/>
      </w:pPr>
      <w:r>
        <w:t>- суб</w:t>
      </w:r>
      <w:r w:rsidR="00CB2572">
        <w:t>сидии исполнены в сумме 46604,24</w:t>
      </w:r>
      <w:r>
        <w:t xml:space="preserve"> тыс. рублей;</w:t>
      </w:r>
    </w:p>
    <w:p w:rsidR="00A25AAC" w:rsidRDefault="00F12ED0">
      <w:pPr>
        <w:ind w:firstLine="709"/>
        <w:jc w:val="both"/>
      </w:pPr>
      <w:r>
        <w:t>- иные межбюджетные транс</w:t>
      </w:r>
      <w:r w:rsidR="00CB2572">
        <w:t>ферты исполнены в сумме 20765,13</w:t>
      </w:r>
      <w:r>
        <w:t xml:space="preserve"> тыс. рублей.</w:t>
      </w:r>
    </w:p>
    <w:p w:rsidR="00A25AAC" w:rsidRDefault="00A25AAC">
      <w:pPr>
        <w:jc w:val="center"/>
        <w:rPr>
          <w:b/>
          <w:u w:val="single"/>
        </w:rPr>
      </w:pPr>
    </w:p>
    <w:p w:rsidR="00A25AAC" w:rsidRPr="00040872" w:rsidRDefault="00F12ED0" w:rsidP="00040872">
      <w:pPr>
        <w:spacing w:after="240"/>
        <w:jc w:val="center"/>
        <w:rPr>
          <w:b/>
          <w:u w:val="single"/>
        </w:rPr>
      </w:pPr>
      <w:r>
        <w:rPr>
          <w:b/>
          <w:u w:val="single"/>
        </w:rPr>
        <w:t>3. Исполнение муниципального бюджета по расходам</w:t>
      </w:r>
    </w:p>
    <w:p w:rsidR="00A25AAC" w:rsidRDefault="00F12ED0">
      <w:pPr>
        <w:ind w:firstLine="709"/>
        <w:jc w:val="both"/>
      </w:pPr>
      <w:r>
        <w:t>Расходы муниципальног</w:t>
      </w:r>
      <w:r w:rsidR="00872E6F">
        <w:t>о бюджета за 2024 год</w:t>
      </w:r>
      <w:r w:rsidR="009C7725">
        <w:t xml:space="preserve"> исполнены в сумме 530968,3 тыс. рублей, ил</w:t>
      </w:r>
      <w:r w:rsidR="0083536A">
        <w:t>и 99</w:t>
      </w:r>
      <w:r w:rsidR="009C7725">
        <w:t xml:space="preserve"> % от плана, 537121,2</w:t>
      </w:r>
      <w:r>
        <w:t xml:space="preserve"> тыс. рублей.</w:t>
      </w:r>
    </w:p>
    <w:p w:rsidR="00A25AAC" w:rsidRDefault="00F12ED0">
      <w:pPr>
        <w:ind w:firstLine="709"/>
        <w:jc w:val="both"/>
      </w:pPr>
      <w:r>
        <w:t>Исполнение муниципального бюджета по</w:t>
      </w:r>
      <w:r w:rsidR="00872E6F">
        <w:t xml:space="preserve"> расходам за 2024 год</w:t>
      </w:r>
      <w:r>
        <w:t xml:space="preserve"> осуществлялось в условиях первоочередного обеспечения социально-значимых, первоочередных расходных обязательств кожууна, а также освоения целевых федеральных средств.</w:t>
      </w:r>
    </w:p>
    <w:p w:rsidR="00A25AAC" w:rsidRDefault="00A25AAC">
      <w:pPr>
        <w:jc w:val="center"/>
        <w:rPr>
          <w:b/>
          <w:highlight w:val="cyan"/>
          <w:u w:val="single"/>
        </w:rPr>
      </w:pPr>
    </w:p>
    <w:p w:rsidR="00040872" w:rsidRDefault="00F12ED0" w:rsidP="00040872">
      <w:pPr>
        <w:pStyle w:val="ae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</w:p>
    <w:p w:rsidR="00040872" w:rsidRPr="00040872" w:rsidRDefault="00040872" w:rsidP="00040872">
      <w:pPr>
        <w:pStyle w:val="ae"/>
        <w:spacing w:line="240" w:lineRule="auto"/>
        <w:ind w:left="1878"/>
        <w:rPr>
          <w:rFonts w:ascii="Times New Roman" w:hAnsi="Times New Roman" w:cs="Times New Roman"/>
          <w:b/>
          <w:sz w:val="24"/>
          <w:szCs w:val="24"/>
        </w:rPr>
      </w:pPr>
    </w:p>
    <w:p w:rsidR="00A25AAC" w:rsidRDefault="00F12ED0">
      <w:pPr>
        <w:pStyle w:val="ae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 «Общегосударственные вопросы» произведены расходы на функционирование Председателя Администрации Чаа-Хольского кожууна Республики Тыва и аппарата администрации Чаа-Хольского кожууна по указ</w:t>
      </w:r>
      <w:r w:rsidR="009C7725">
        <w:rPr>
          <w:rFonts w:ascii="Times New Roman" w:hAnsi="Times New Roman" w:cs="Times New Roman"/>
          <w:sz w:val="24"/>
          <w:szCs w:val="24"/>
        </w:rPr>
        <w:t>анному разделу составил 56552,24 тыс. рублей при плане 59552,24</w:t>
      </w:r>
      <w:r w:rsidR="0083536A">
        <w:rPr>
          <w:rFonts w:ascii="Times New Roman" w:hAnsi="Times New Roman" w:cs="Times New Roman"/>
          <w:sz w:val="24"/>
          <w:szCs w:val="24"/>
        </w:rPr>
        <w:t xml:space="preserve"> тыс. рублей, исполнено на 95 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A25AAC" w:rsidRDefault="00F12ED0">
      <w:pPr>
        <w:ind w:firstLine="709"/>
        <w:jc w:val="center"/>
        <w:rPr>
          <w:b/>
        </w:rPr>
      </w:pPr>
      <w:r>
        <w:rPr>
          <w:b/>
        </w:rPr>
        <w:t>2. Раздел 0200 «Национальная оборона»</w:t>
      </w:r>
    </w:p>
    <w:p w:rsidR="00A25AAC" w:rsidRDefault="00A25AAC">
      <w:pPr>
        <w:ind w:firstLine="709"/>
        <w:jc w:val="center"/>
        <w:rPr>
          <w:b/>
        </w:rPr>
      </w:pPr>
    </w:p>
    <w:p w:rsidR="00A25AAC" w:rsidRDefault="00F12ED0">
      <w:pPr>
        <w:ind w:firstLine="709"/>
        <w:jc w:val="both"/>
      </w:pPr>
      <w:r>
        <w:t>По разделу «Национальная оборона» произведены расходы на осуществление переданных полномочий по первичному воинскому учету на территориях, где отсутствуют вое</w:t>
      </w:r>
      <w:r w:rsidR="009C7725">
        <w:t>нные комиссариаты в сумме 1376,4</w:t>
      </w:r>
      <w:r>
        <w:t xml:space="preserve"> тыс. рублей.</w:t>
      </w:r>
    </w:p>
    <w:p w:rsidR="00A25AAC" w:rsidRDefault="00A25AAC">
      <w:pPr>
        <w:jc w:val="center"/>
        <w:rPr>
          <w:b/>
        </w:rPr>
      </w:pPr>
    </w:p>
    <w:p w:rsidR="00A25AAC" w:rsidRDefault="00F12ED0">
      <w:pPr>
        <w:jc w:val="center"/>
        <w:rPr>
          <w:b/>
        </w:rPr>
      </w:pPr>
      <w:r>
        <w:rPr>
          <w:b/>
        </w:rPr>
        <w:t>3. Раздел 0300 «Национальная безопасность и правоохранительная деятельность»</w:t>
      </w:r>
    </w:p>
    <w:p w:rsidR="00A25AAC" w:rsidRDefault="00A25AAC">
      <w:pPr>
        <w:jc w:val="center"/>
        <w:rPr>
          <w:b/>
        </w:rPr>
      </w:pPr>
    </w:p>
    <w:p w:rsidR="00A25AAC" w:rsidRDefault="00F12ED0">
      <w:pPr>
        <w:autoSpaceDE w:val="0"/>
        <w:autoSpaceDN w:val="0"/>
        <w:adjustRightInd w:val="0"/>
        <w:ind w:firstLine="709"/>
        <w:jc w:val="both"/>
      </w:pPr>
      <w:r>
        <w:t>По разделу национальная безопасность и правоохранительная деятельность исполнение муниципального бюджета Чаа-Холь</w:t>
      </w:r>
      <w:r w:rsidR="009C7725">
        <w:t>ского кожууна составляет 4414,03 тыс. рублей, при плане 4414,03</w:t>
      </w:r>
      <w:r>
        <w:t xml:space="preserve"> тыс. рублей, из них (исполнение):</w:t>
      </w:r>
    </w:p>
    <w:p w:rsidR="00A25AAC" w:rsidRDefault="00F12ED0">
      <w:pPr>
        <w:autoSpaceDE w:val="0"/>
        <w:autoSpaceDN w:val="0"/>
        <w:adjustRightInd w:val="0"/>
        <w:ind w:firstLine="709"/>
        <w:jc w:val="both"/>
      </w:pPr>
      <w:r>
        <w:t>- на муниципальную программу Чаа-Хольского кожууна «Обеспечение пожарной безопасности и защиты населения, территорий муниципального района Чаа-Хольский кожуун Республики Тыва» от чрезвычайных ситуаций и</w:t>
      </w:r>
      <w:r w:rsidR="0016268A">
        <w:t xml:space="preserve"> техногенного характера» - 363,20</w:t>
      </w:r>
      <w:r>
        <w:t xml:space="preserve"> тыс. рублей;</w:t>
      </w:r>
    </w:p>
    <w:p w:rsidR="00A25AAC" w:rsidRDefault="00F12ED0">
      <w:pPr>
        <w:autoSpaceDE w:val="0"/>
        <w:autoSpaceDN w:val="0"/>
        <w:adjustRightInd w:val="0"/>
        <w:ind w:firstLine="709"/>
        <w:jc w:val="both"/>
      </w:pPr>
      <w:r>
        <w:t>- на муниципальную программу Чаа-Хольского кожууна «Профилактика безнадзорности и правонарушений несовершеннолетних в Чаа-Хольском</w:t>
      </w:r>
      <w:r w:rsidR="0016268A">
        <w:t xml:space="preserve"> кожууне Республики Тыва» – 135,28</w:t>
      </w:r>
      <w:r>
        <w:t xml:space="preserve"> тыс. рублей;</w:t>
      </w:r>
    </w:p>
    <w:p w:rsidR="00A25AAC" w:rsidRDefault="00F12ED0">
      <w:pPr>
        <w:autoSpaceDE w:val="0"/>
        <w:autoSpaceDN w:val="0"/>
        <w:adjustRightInd w:val="0"/>
        <w:ind w:firstLine="709"/>
        <w:jc w:val="both"/>
        <w:rPr>
          <w:b/>
        </w:rPr>
      </w:pPr>
      <w:r>
        <w:t>- на другие вопросы в области национальной безопасности и правоохра</w:t>
      </w:r>
      <w:r w:rsidR="0016268A">
        <w:t>нительной деятельности – 3915,55</w:t>
      </w:r>
      <w:r>
        <w:t xml:space="preserve"> тыс.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 закупка товаров работ и услуг.</w:t>
      </w:r>
    </w:p>
    <w:p w:rsidR="0016268A" w:rsidRDefault="0016268A">
      <w:pPr>
        <w:jc w:val="center"/>
        <w:rPr>
          <w:b/>
        </w:rPr>
      </w:pPr>
    </w:p>
    <w:p w:rsidR="00A25AAC" w:rsidRDefault="00F12ED0">
      <w:pPr>
        <w:jc w:val="center"/>
        <w:rPr>
          <w:b/>
        </w:rPr>
      </w:pPr>
      <w:r>
        <w:rPr>
          <w:b/>
        </w:rPr>
        <w:t>4. Раздел 0400 «Национальная экономика»</w:t>
      </w:r>
    </w:p>
    <w:p w:rsidR="00A25AAC" w:rsidRDefault="00A25AAC">
      <w:pPr>
        <w:jc w:val="center"/>
        <w:rPr>
          <w:b/>
        </w:rPr>
      </w:pPr>
    </w:p>
    <w:p w:rsidR="00A25AAC" w:rsidRDefault="00F12ED0" w:rsidP="0016268A">
      <w:pPr>
        <w:jc w:val="center"/>
        <w:rPr>
          <w:b/>
        </w:rPr>
      </w:pPr>
      <w:r>
        <w:rPr>
          <w:b/>
        </w:rPr>
        <w:t xml:space="preserve">Подраздел 0405 «Сельское хозяйство и рыболовство»  </w:t>
      </w:r>
    </w:p>
    <w:p w:rsidR="00A25AAC" w:rsidRDefault="00F12ED0">
      <w:pPr>
        <w:ind w:firstLine="709"/>
        <w:jc w:val="both"/>
      </w:pPr>
      <w:r>
        <w:t>По разделу 0405 «Сельское хозяйс</w:t>
      </w:r>
      <w:r w:rsidR="0016268A">
        <w:t>тво и рыболовство» за 2024 год</w:t>
      </w:r>
      <w:r>
        <w:t xml:space="preserve"> запла</w:t>
      </w:r>
      <w:r w:rsidR="00AD030D">
        <w:t>нированы расходы в сумме 2724</w:t>
      </w:r>
      <w:r w:rsidR="0083536A">
        <w:t>,0</w:t>
      </w:r>
      <w:r>
        <w:t xml:space="preserve"> тыс. рубл</w:t>
      </w:r>
      <w:r w:rsidR="00AD030D">
        <w:t>ей, исполнение составило 2724</w:t>
      </w:r>
      <w:r w:rsidR="0083536A">
        <w:t>,0</w:t>
      </w:r>
      <w:r>
        <w:t xml:space="preserve"> тыс. рублей.  В целях обеспечения устойчивости бюджетной системы муниципального района в среднесрочной перспективе, а также эффективного использования бюджетных с</w:t>
      </w:r>
      <w:r w:rsidR="0016268A">
        <w:t>редств в 2024 году, за 2024 год</w:t>
      </w:r>
      <w:r>
        <w:t xml:space="preserve"> профинансировано социально-значимые расходы. </w:t>
      </w:r>
    </w:p>
    <w:p w:rsidR="00A25AAC" w:rsidRDefault="00A25AAC">
      <w:pPr>
        <w:ind w:firstLine="709"/>
        <w:jc w:val="center"/>
        <w:rPr>
          <w:b/>
          <w:i/>
        </w:rPr>
      </w:pPr>
    </w:p>
    <w:p w:rsidR="00A25AAC" w:rsidRDefault="00F12ED0">
      <w:pPr>
        <w:ind w:firstLine="709"/>
        <w:jc w:val="center"/>
        <w:rPr>
          <w:b/>
        </w:rPr>
      </w:pPr>
      <w:r>
        <w:rPr>
          <w:b/>
        </w:rPr>
        <w:t>Подраздел 0409 «Дорожное хозяйство (дорожные фонды)»</w:t>
      </w:r>
    </w:p>
    <w:p w:rsidR="00A25AAC" w:rsidRDefault="00F12ED0">
      <w:pPr>
        <w:ind w:firstLine="709"/>
        <w:jc w:val="both"/>
      </w:pPr>
      <w:r>
        <w:t>По подразделу 0409 «Дорожное хозяйство (дорожные фонд</w:t>
      </w:r>
      <w:r w:rsidR="0016268A">
        <w:t xml:space="preserve">ы)» исполнение  за </w:t>
      </w:r>
      <w:r>
        <w:t>20</w:t>
      </w:r>
      <w:r w:rsidR="00AD030D">
        <w:t>24 г. составило в размере 1657,51</w:t>
      </w:r>
      <w:r>
        <w:t xml:space="preserve"> тыс. рублей:</w:t>
      </w:r>
    </w:p>
    <w:p w:rsidR="00A25AAC" w:rsidRDefault="00F12ED0">
      <w:pPr>
        <w:ind w:firstLine="709"/>
        <w:jc w:val="both"/>
      </w:pPr>
      <w:r>
        <w:t>- на муниципальную программу «Повышение безопасности дорожного движения в Чаа-Хольском кож</w:t>
      </w:r>
      <w:r w:rsidR="00AD030D">
        <w:t>ууне на 2021-2023 годы» - 1657,51</w:t>
      </w:r>
      <w:r>
        <w:t xml:space="preserve"> тыс. рублей.</w:t>
      </w:r>
    </w:p>
    <w:p w:rsidR="00A25AAC" w:rsidRDefault="00A25AAC">
      <w:pPr>
        <w:jc w:val="center"/>
        <w:rPr>
          <w:b/>
        </w:rPr>
      </w:pPr>
    </w:p>
    <w:p w:rsidR="00A25AAC" w:rsidRDefault="0016268A">
      <w:pPr>
        <w:jc w:val="center"/>
        <w:rPr>
          <w:b/>
        </w:rPr>
      </w:pPr>
      <w:r>
        <w:rPr>
          <w:b/>
        </w:rPr>
        <w:t>Подраздел 04</w:t>
      </w:r>
      <w:r w:rsidR="00F12ED0">
        <w:rPr>
          <w:b/>
        </w:rPr>
        <w:t>12 «Другие вопросы в области национальной экономики»</w:t>
      </w:r>
    </w:p>
    <w:p w:rsidR="00A25AAC" w:rsidRDefault="00F12ED0">
      <w:pPr>
        <w:ind w:firstLine="709"/>
        <w:jc w:val="both"/>
      </w:pPr>
      <w:r>
        <w:t>В муниципальном бюджете Чаа-Хольского кожу</w:t>
      </w:r>
      <w:r w:rsidR="0016268A">
        <w:t>уна Республики Тыва за</w:t>
      </w:r>
      <w:r>
        <w:t xml:space="preserve"> 2024 года на реализацию мероприятий по отрасли «Другие вопросы в области национальной экономики» </w:t>
      </w:r>
      <w:r w:rsidR="00AD030D">
        <w:t>запланировано 10337,21</w:t>
      </w:r>
      <w:r>
        <w:t xml:space="preserve"> тыс. </w:t>
      </w:r>
      <w:r w:rsidR="00AD030D">
        <w:t>рублей, из них исполнено 10337,21</w:t>
      </w:r>
      <w:r>
        <w:t xml:space="preserve"> т</w:t>
      </w:r>
      <w:r w:rsidR="0083536A">
        <w:t>ыс. рублей, что составляет 100</w:t>
      </w:r>
      <w:r>
        <w:t xml:space="preserve"> % от плана.</w:t>
      </w:r>
    </w:p>
    <w:p w:rsidR="00A25AAC" w:rsidRPr="0016268A" w:rsidRDefault="0016268A" w:rsidP="0016268A">
      <w:pPr>
        <w:pStyle w:val="ae"/>
        <w:ind w:left="14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F12ED0" w:rsidRPr="0016268A">
        <w:rPr>
          <w:rFonts w:ascii="Times New Roman" w:hAnsi="Times New Roman" w:cs="Times New Roman"/>
          <w:b/>
        </w:rPr>
        <w:t>Раздел 0500 «Жилищно-коммунальное хозяйство»</w:t>
      </w:r>
    </w:p>
    <w:p w:rsidR="00A25AAC" w:rsidRDefault="0016268A">
      <w:pPr>
        <w:ind w:firstLine="709"/>
        <w:jc w:val="both"/>
      </w:pPr>
      <w:r>
        <w:t>За 2024 год</w:t>
      </w:r>
      <w:r w:rsidR="00F12ED0">
        <w:t xml:space="preserve"> расходы по разделу «Жилищно-коммунальное хозяй</w:t>
      </w:r>
      <w:r w:rsidR="00AD030D">
        <w:t xml:space="preserve">ство» исполнены в сумме </w:t>
      </w:r>
      <w:r w:rsidR="0083536A">
        <w:t>16700,18 тыс. рублей при плане 19186,93</w:t>
      </w:r>
      <w:r w:rsidR="00F12ED0">
        <w:t xml:space="preserve"> тыс. рублей. </w:t>
      </w:r>
    </w:p>
    <w:p w:rsidR="00A25AAC" w:rsidRDefault="00A25AAC">
      <w:pPr>
        <w:ind w:left="1" w:firstLine="708"/>
        <w:jc w:val="both"/>
      </w:pPr>
    </w:p>
    <w:p w:rsidR="00A25AAC" w:rsidRPr="0016268A" w:rsidRDefault="0016268A" w:rsidP="0016268A">
      <w:pPr>
        <w:pStyle w:val="ae"/>
        <w:ind w:left="14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F12ED0" w:rsidRPr="0016268A">
        <w:rPr>
          <w:rFonts w:ascii="Times New Roman" w:hAnsi="Times New Roman" w:cs="Times New Roman"/>
          <w:b/>
        </w:rPr>
        <w:t>Раздел 0600 «Охрана окружающей среды»</w:t>
      </w:r>
    </w:p>
    <w:p w:rsidR="00A25AAC" w:rsidRDefault="0016268A">
      <w:pPr>
        <w:ind w:left="1" w:firstLine="708"/>
        <w:jc w:val="both"/>
      </w:pPr>
      <w:r>
        <w:t>За 2024 год</w:t>
      </w:r>
      <w:r w:rsidR="00F12ED0">
        <w:t xml:space="preserve"> расходы по разделу 0600 «Охрана окруж</w:t>
      </w:r>
      <w:r w:rsidR="0083536A">
        <w:t>ающей среды» Предусмотрено 76,0</w:t>
      </w:r>
      <w:r w:rsidR="00F12ED0">
        <w:t xml:space="preserve"> тыс. рублей. По сравнению с АППГ изменений нет.</w:t>
      </w:r>
    </w:p>
    <w:p w:rsidR="00A25AAC" w:rsidRDefault="00A25AAC">
      <w:pPr>
        <w:ind w:left="1" w:firstLine="708"/>
        <w:jc w:val="both"/>
      </w:pPr>
    </w:p>
    <w:p w:rsidR="00A25AAC" w:rsidRDefault="00F12ED0" w:rsidP="0016268A">
      <w:pPr>
        <w:pStyle w:val="ae"/>
        <w:numPr>
          <w:ilvl w:val="0"/>
          <w:numId w:val="7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0700 «Образование»</w:t>
      </w:r>
    </w:p>
    <w:p w:rsidR="00A25AAC" w:rsidRDefault="00F12ED0">
      <w:pPr>
        <w:ind w:firstLine="709"/>
        <w:jc w:val="both"/>
      </w:pPr>
      <w:r>
        <w:t>На выполнение государственного (консолидированного) задания бюджетными учреждениям, на выплаты персоналу в целях обеспечения выполнения функций государственными (муниципальными) органами, казенными учреждениями, а также на проведение мероприятий в области об</w:t>
      </w:r>
      <w:r w:rsidR="0016268A">
        <w:t>разования за 2024 год</w:t>
      </w:r>
      <w:r w:rsidR="0083536A">
        <w:t xml:space="preserve"> использованы 323441,1</w:t>
      </w:r>
      <w:r>
        <w:t xml:space="preserve"> тыс. рубле</w:t>
      </w:r>
      <w:r w:rsidR="0083536A">
        <w:t>й, при плане 323458,18 тыс. рублей или 100</w:t>
      </w:r>
      <w:r>
        <w:t xml:space="preserve"> % к плану. </w:t>
      </w:r>
    </w:p>
    <w:p w:rsidR="00A25AAC" w:rsidRDefault="00F12ED0">
      <w:pPr>
        <w:autoSpaceDE w:val="0"/>
        <w:autoSpaceDN w:val="0"/>
        <w:adjustRightInd w:val="0"/>
        <w:ind w:firstLine="709"/>
        <w:jc w:val="both"/>
      </w:pPr>
      <w:r>
        <w:t>На увеличение кассовых расходов повлияло:</w:t>
      </w:r>
    </w:p>
    <w:p w:rsidR="00A25AAC" w:rsidRDefault="00F12ED0">
      <w:pPr>
        <w:pStyle w:val="ae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выплат заработной платы не ниже минимального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повышением </w:t>
      </w:r>
      <w:r>
        <w:rPr>
          <w:rFonts w:ascii="Times New Roman" w:hAnsi="Times New Roman" w:cs="Times New Roman"/>
          <w:sz w:val="24"/>
          <w:szCs w:val="24"/>
        </w:rPr>
        <w:t xml:space="preserve">с 1 января 2024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МРОТ в размере 36560 рублей </w:t>
      </w: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19.06.2000 года № 82-ФЗ «О минимальном размере оплаты труда»;</w:t>
      </w:r>
    </w:p>
    <w:p w:rsidR="00A25AAC" w:rsidRDefault="00F12ED0">
      <w:pPr>
        <w:pStyle w:val="ae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повышение оплаты труда отдельных категорий работников, в связи с изменением темпов роста среднемесячной начисленной заработной платы в целом по Республике Тыва согласно прогнозу социально-экономического развития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республики, на 2024 год и на плановый период 2025 и 2026 годов.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остижения индикативных показателей по категориям «Указных» работников, </w:t>
      </w:r>
      <w:r>
        <w:rPr>
          <w:rFonts w:ascii="Times New Roman" w:hAnsi="Times New Roman" w:cs="Times New Roman"/>
          <w:sz w:val="24"/>
          <w:szCs w:val="24"/>
        </w:rPr>
        <w:t>на которых распространяется действие Указов Президента Российской Федерации от 07.05.2012 года № 597 «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мероприятиях по реализации государственной социальной политики".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5AAC" w:rsidRDefault="00F12ED0">
      <w:pPr>
        <w:ind w:firstLine="709"/>
        <w:jc w:val="both"/>
      </w:pPr>
      <w:r>
        <w:t>3) увеличением объема выделенных средств из федерального бюджета на реализацию национальных проектов «Образование» и «Демография»;</w:t>
      </w:r>
    </w:p>
    <w:p w:rsidR="00A25AAC" w:rsidRDefault="00F12ED0">
      <w:pPr>
        <w:ind w:firstLine="709"/>
        <w:jc w:val="both"/>
        <w:rPr>
          <w:bCs/>
          <w:iCs/>
          <w:color w:val="222223"/>
        </w:rPr>
      </w:pPr>
      <w:r>
        <w:t>6) субсидии и иные м</w:t>
      </w:r>
      <w:r w:rsidR="00956FEB">
        <w:t>ежбюджетные трансферты в сумме 24675,78</w:t>
      </w:r>
      <w:r>
        <w:t xml:space="preserve"> тыс. рублей, в том числе</w:t>
      </w:r>
      <w:r>
        <w:rPr>
          <w:bCs/>
          <w:iCs/>
          <w:color w:val="222223"/>
        </w:rPr>
        <w:t xml:space="preserve">: 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rPr>
          <w:color w:val="000000"/>
          <w:spacing w:val="-6"/>
        </w:rPr>
        <w:t xml:space="preserve">          - </w:t>
      </w:r>
      <w:r>
        <w:rPr>
          <w:bCs/>
          <w:iCs/>
          <w:color w:val="222223"/>
        </w:rPr>
        <w:t>на ежемесячное денежное вознаграждение в размере не менее 5000 рублей педагогическим работникам государственных и муниципальных общеобразовательных организаций за классное руководство, предусмотрев сохранение ранее установленных в субъектах Российской Федерации выплат на эти цели и обеспечив выплату такого вознаграждения начиная с 1 января 2022 года.</w:t>
      </w:r>
      <w:r>
        <w:t xml:space="preserve"> Размер вознаграждения за классное руководство </w:t>
      </w:r>
      <w:proofErr w:type="gramStart"/>
      <w:r>
        <w:t>за полный месяц</w:t>
      </w:r>
      <w:proofErr w:type="gramEnd"/>
      <w:r>
        <w:t xml:space="preserve"> и по норме численности, учащихся в класс - комплекте составит 9 500 рублей. В 2023-2024 учебный год численность классных руководителей составляет всего 60 человек. Объем освоенных иных межбюджетных</w:t>
      </w:r>
      <w:r w:rsidR="00E41102">
        <w:t xml:space="preserve"> трансфертов составляет 16212,28</w:t>
      </w:r>
      <w:r>
        <w:t xml:space="preserve"> тыс. рублей;</w:t>
      </w:r>
    </w:p>
    <w:p w:rsidR="00A25AAC" w:rsidRDefault="00F12ED0" w:rsidP="003F0BE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организацию бесплатного питания отдельным категориям учащихся государственных и муниципальных образовательных учреждений</w:t>
      </w:r>
      <w:r w:rsidR="003F0BE2">
        <w:t xml:space="preserve"> Чаа-Хольского кожууна – 1791,42</w:t>
      </w:r>
      <w:r>
        <w:t xml:space="preserve"> тыс. рублей;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rPr>
          <w:color w:val="000000"/>
          <w:spacing w:val="-6"/>
        </w:rPr>
        <w:t xml:space="preserve">          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Республики Тыва освоены </w:t>
      </w:r>
      <w:r w:rsidR="003F0BE2">
        <w:t>субсидии в общей сумме 6672,08</w:t>
      </w:r>
      <w:r>
        <w:t xml:space="preserve"> тыс. рублей в соответствии с Распоряжением </w:t>
      </w:r>
      <w:r>
        <w:lastRenderedPageBreak/>
        <w:t>Правительства Российской Федерации от 12.08.2020 года № 2072-р в рамках государственной программы Российской Федерации «Развитие образование».</w:t>
      </w:r>
    </w:p>
    <w:p w:rsidR="00A25AAC" w:rsidRDefault="00A25A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</w:p>
    <w:p w:rsidR="00040872" w:rsidRPr="00040872" w:rsidRDefault="00040872" w:rsidP="0004087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spacing w:after="240"/>
        <w:ind w:firstLine="567"/>
        <w:jc w:val="center"/>
        <w:rPr>
          <w:b/>
        </w:rPr>
      </w:pPr>
      <w:r>
        <w:rPr>
          <w:b/>
        </w:rPr>
        <w:t xml:space="preserve">8. </w:t>
      </w:r>
      <w:r w:rsidR="00F12ED0">
        <w:rPr>
          <w:b/>
        </w:rPr>
        <w:t>Раздел 0800 «Культура, кинематография»</w:t>
      </w:r>
    </w:p>
    <w:p w:rsidR="00040872" w:rsidRPr="00040872" w:rsidRDefault="00F12ED0" w:rsidP="0004087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На проведение мероприятий и обеспечение деятельности учреждений</w:t>
      </w:r>
      <w:r w:rsidR="0016268A">
        <w:t xml:space="preserve"> культуры за 2024 год</w:t>
      </w:r>
      <w:r w:rsidR="003F0BE2">
        <w:t xml:space="preserve"> было освоено 55389,5</w:t>
      </w:r>
      <w:r>
        <w:t xml:space="preserve"> тыс. рублей.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rPr>
          <w:b/>
        </w:rPr>
        <w:t xml:space="preserve">По подразделу 0801 «Культура» </w:t>
      </w:r>
      <w:r w:rsidR="0016268A">
        <w:t>за</w:t>
      </w:r>
      <w:r>
        <w:t xml:space="preserve"> </w:t>
      </w:r>
      <w:r w:rsidR="0016268A">
        <w:t>2024 год</w:t>
      </w:r>
      <w:r>
        <w:rPr>
          <w:b/>
        </w:rPr>
        <w:t xml:space="preserve"> </w:t>
      </w:r>
      <w:r w:rsidR="003F0BE2">
        <w:t>исполнение составляет 30933,54</w:t>
      </w:r>
      <w:r>
        <w:t xml:space="preserve"> тыс. рублей, из которых: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культурно-досуговой деятельности Чаа-Хольского кожууна на 2024-2026 годы» напра</w:t>
      </w:r>
      <w:r w:rsidR="003F0BE2">
        <w:t>влены средства в сумме – 18733</w:t>
      </w:r>
      <w:r>
        <w:t xml:space="preserve"> тыс. рублей;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библиотечного дела в Чаа-Хольском кожу</w:t>
      </w:r>
      <w:r w:rsidR="00DD75E9">
        <w:t>уне на 2024-2026 годы» - 12122,97</w:t>
      </w:r>
      <w:r>
        <w:t xml:space="preserve"> тыс. рублей.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rPr>
          <w:b/>
        </w:rPr>
        <w:t>По подразделу 0804</w:t>
      </w:r>
      <w:r>
        <w:t xml:space="preserve"> </w:t>
      </w:r>
      <w:r>
        <w:rPr>
          <w:b/>
        </w:rPr>
        <w:t>«Другие вопросы в области культуры, кинематографии»</w:t>
      </w:r>
      <w:r w:rsidR="0016268A">
        <w:t xml:space="preserve"> за 2024 год</w:t>
      </w:r>
      <w:r w:rsidR="00DD75E9">
        <w:t xml:space="preserve"> исполнено 24455,96 тыс. рублей</w:t>
      </w:r>
      <w:r>
        <w:t>, из них:</w:t>
      </w:r>
    </w:p>
    <w:p w:rsidR="00A25AAC" w:rsidRDefault="00F12ED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развитие муниципальной программы «Развитие культуры и туризма на 2024-2026 годы» направ</w:t>
      </w:r>
      <w:r w:rsidR="00DD75E9">
        <w:t>лены средства в сумме – 23476,88</w:t>
      </w:r>
      <w:r>
        <w:t xml:space="preserve"> тыс. рублей;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расходы на выплаты по оплате </w:t>
      </w:r>
      <w:proofErr w:type="gramStart"/>
      <w:r>
        <w:t>труда начальника управления культуры искусства администраци</w:t>
      </w:r>
      <w:r w:rsidR="00DD75E9">
        <w:t>и</w:t>
      </w:r>
      <w:proofErr w:type="gramEnd"/>
      <w:r w:rsidR="00DD75E9">
        <w:t xml:space="preserve"> Чаа-Хольского кожууна – 979,08</w:t>
      </w:r>
      <w:r>
        <w:t xml:space="preserve"> тыс. рублей.</w:t>
      </w:r>
    </w:p>
    <w:p w:rsidR="001E6E20" w:rsidRPr="001E6E20" w:rsidRDefault="001E6E2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spacing w:before="240" w:after="240"/>
        <w:ind w:firstLine="567"/>
        <w:jc w:val="center"/>
        <w:rPr>
          <w:b/>
        </w:rPr>
      </w:pPr>
      <w:r>
        <w:rPr>
          <w:b/>
        </w:rPr>
        <w:t xml:space="preserve">9. </w:t>
      </w:r>
      <w:r w:rsidRPr="001E6E20">
        <w:rPr>
          <w:b/>
        </w:rPr>
        <w:t>Раздел 1000 «Социальная политика»</w:t>
      </w:r>
    </w:p>
    <w:p w:rsidR="001E6E20" w:rsidRDefault="0016268A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По разделу 10</w:t>
      </w:r>
      <w:r w:rsidR="00F12ED0">
        <w:t>00 «Со</w:t>
      </w:r>
      <w:r>
        <w:t>циальная политика» за 2024 год</w:t>
      </w:r>
      <w:r w:rsidR="00DD75E9">
        <w:t xml:space="preserve"> исполнение составило 42561,02 тыс. рублей или 99 %  при плане 42648,59</w:t>
      </w:r>
      <w:r w:rsidR="00F12ED0">
        <w:t xml:space="preserve"> тыс. рублей.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На уменьшение расходов по сравнению с 2023 годом повлияли частичный переход социальных выплат на ПФР.</w:t>
      </w:r>
    </w:p>
    <w:p w:rsidR="001E6E20" w:rsidRDefault="001E6E2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spacing w:before="240" w:after="240"/>
        <w:ind w:firstLine="567"/>
        <w:jc w:val="center"/>
        <w:rPr>
          <w:b/>
        </w:rPr>
      </w:pPr>
      <w:r>
        <w:rPr>
          <w:b/>
        </w:rPr>
        <w:t xml:space="preserve">10. </w:t>
      </w:r>
      <w:r w:rsidR="00F12ED0" w:rsidRPr="001E6E20">
        <w:rPr>
          <w:b/>
        </w:rPr>
        <w:t>Раздел 1100 «Физическая культура и спорт»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Кассовые расходы мероприятий в целом по разделу «Физическа</w:t>
      </w:r>
      <w:r w:rsidR="00AD030D">
        <w:t xml:space="preserve">я культура и спорт» за 2024 год </w:t>
      </w:r>
      <w:r w:rsidR="00DD75E9">
        <w:t>составляет 650,0 тыс. рублей или 100</w:t>
      </w:r>
      <w:r>
        <w:t xml:space="preserve"> % от плана. 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За счет средств местного б</w:t>
      </w:r>
      <w:r w:rsidR="00AD030D">
        <w:t>юджета за 2024 год</w:t>
      </w:r>
      <w:r>
        <w:t xml:space="preserve"> на реализацию мероприятий в области физической </w:t>
      </w:r>
      <w:r w:rsidR="00DD75E9">
        <w:t>культуры и спорта освоено 650,0</w:t>
      </w:r>
      <w:r>
        <w:t xml:space="preserve"> тыс. рублей,</w:t>
      </w:r>
      <w:r>
        <w:rPr>
          <w:b/>
        </w:rPr>
        <w:t xml:space="preserve"> </w:t>
      </w:r>
      <w:r>
        <w:t xml:space="preserve">из них: 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1) на реализацию муниципальной программы «Спорт – норма жизни»</w:t>
      </w:r>
      <w:r w:rsidR="00E41102">
        <w:t xml:space="preserve"> освоены средства в сумме 600,0</w:t>
      </w:r>
      <w:r>
        <w:t xml:space="preserve"> тыс. рублей, в том числе: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2) на реализацию муниципальной программы «Государствен</w:t>
      </w:r>
      <w:r w:rsidR="00E41102">
        <w:t>ная молодежная политика» - 50,0</w:t>
      </w:r>
      <w:r>
        <w:t xml:space="preserve"> тыс. рублей.</w:t>
      </w:r>
    </w:p>
    <w:p w:rsidR="001E6E20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spacing w:before="240" w:after="240"/>
        <w:ind w:firstLine="567"/>
        <w:jc w:val="center"/>
      </w:pPr>
      <w:r>
        <w:rPr>
          <w:b/>
        </w:rPr>
        <w:t>Сведения по дебиторской и кредиторской задолженности</w:t>
      </w:r>
    </w:p>
    <w:p w:rsidR="001E6E20" w:rsidRPr="00CF0F18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CF0F18">
        <w:t>Общая сумма дебиторской задолженности по муниципальному бюджету Чаа-Хольского кожууна Республики Тыва на</w:t>
      </w:r>
      <w:r w:rsidR="00E41102" w:rsidRPr="00CF0F18">
        <w:t xml:space="preserve"> 01.01.2025 года составила </w:t>
      </w:r>
      <w:r w:rsidR="00CF0F18" w:rsidRPr="00CF0F18">
        <w:t>118,5</w:t>
      </w:r>
      <w:r w:rsidRPr="00CF0F18">
        <w:t xml:space="preserve"> тыс. рублей.</w:t>
      </w:r>
    </w:p>
    <w:p w:rsidR="00A25AAC" w:rsidRDefault="00F12ED0" w:rsidP="001E6E2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CF0F18">
        <w:t>Общая сумма кредиторской задолженности по бюджетной деятельности по</w:t>
      </w:r>
      <w:r w:rsidR="00E41102" w:rsidRPr="00CF0F18">
        <w:t xml:space="preserve"> муниципальному бюджет</w:t>
      </w:r>
      <w:r w:rsidR="00CF0F18" w:rsidRPr="00CF0F18">
        <w:t>у на 01.01.2025 года составила 283,6</w:t>
      </w:r>
      <w:r w:rsidRPr="00CF0F18">
        <w:t xml:space="preserve"> тыс. рублей. В основном увеличение кредиторской задолженности наблюдается по материальным запасам и услугам связи.</w:t>
      </w:r>
      <w:bookmarkStart w:id="0" w:name="_GoBack"/>
      <w:bookmarkEnd w:id="0"/>
    </w:p>
    <w:p w:rsidR="00A25AAC" w:rsidRDefault="00A25AAC" w:rsidP="001E6E20">
      <w:pPr>
        <w:jc w:val="both"/>
      </w:pPr>
    </w:p>
    <w:p w:rsidR="00A25AAC" w:rsidRDefault="00F12ED0">
      <w:pPr>
        <w:ind w:firstLine="540"/>
        <w:jc w:val="both"/>
      </w:pPr>
      <w:r>
        <w:t xml:space="preserve">Начальник финансового управления </w:t>
      </w:r>
    </w:p>
    <w:p w:rsidR="00A25AAC" w:rsidRDefault="00F12ED0">
      <w:pPr>
        <w:ind w:firstLine="540"/>
        <w:jc w:val="both"/>
      </w:pPr>
      <w:r>
        <w:t xml:space="preserve">Администрации Чаа-Хольского кожууна </w:t>
      </w:r>
      <w:r>
        <w:tab/>
      </w:r>
      <w:r>
        <w:tab/>
      </w:r>
      <w:r>
        <w:tab/>
        <w:t xml:space="preserve">          </w:t>
      </w:r>
      <w:r>
        <w:tab/>
        <w:t xml:space="preserve">    </w:t>
      </w:r>
      <w:r w:rsidR="00AD030D">
        <w:t xml:space="preserve">                        </w:t>
      </w:r>
      <w:r>
        <w:t xml:space="preserve"> К.В.</w:t>
      </w:r>
      <w:r w:rsidR="00AD030D">
        <w:t xml:space="preserve"> </w:t>
      </w:r>
      <w:proofErr w:type="spellStart"/>
      <w:r>
        <w:t>Ховалыг</w:t>
      </w:r>
      <w:proofErr w:type="spellEnd"/>
    </w:p>
    <w:p w:rsidR="00A25AAC" w:rsidRDefault="00A25AAC" w:rsidP="00040872">
      <w:pPr>
        <w:jc w:val="both"/>
        <w:rPr>
          <w:sz w:val="16"/>
          <w:szCs w:val="16"/>
        </w:rPr>
      </w:pPr>
    </w:p>
    <w:sectPr w:rsidR="00A25AAC" w:rsidSect="008C005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7DF" w:rsidRDefault="006817DF">
      <w:r>
        <w:separator/>
      </w:r>
    </w:p>
  </w:endnote>
  <w:endnote w:type="continuationSeparator" w:id="0">
    <w:p w:rsidR="006817DF" w:rsidRDefault="0068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7DF" w:rsidRDefault="006817DF">
      <w:r>
        <w:separator/>
      </w:r>
    </w:p>
  </w:footnote>
  <w:footnote w:type="continuationSeparator" w:id="0">
    <w:p w:rsidR="006817DF" w:rsidRDefault="00681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A05"/>
    <w:multiLevelType w:val="multilevel"/>
    <w:tmpl w:val="11657A05"/>
    <w:lvl w:ilvl="0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98" w:hanging="360"/>
      </w:pPr>
    </w:lvl>
    <w:lvl w:ilvl="2">
      <w:start w:val="1"/>
      <w:numFmt w:val="lowerRoman"/>
      <w:lvlText w:val="%3."/>
      <w:lvlJc w:val="right"/>
      <w:pPr>
        <w:ind w:left="3318" w:hanging="180"/>
      </w:pPr>
    </w:lvl>
    <w:lvl w:ilvl="3">
      <w:start w:val="1"/>
      <w:numFmt w:val="decimal"/>
      <w:lvlText w:val="%4."/>
      <w:lvlJc w:val="left"/>
      <w:pPr>
        <w:ind w:left="4038" w:hanging="360"/>
      </w:pPr>
    </w:lvl>
    <w:lvl w:ilvl="4">
      <w:start w:val="1"/>
      <w:numFmt w:val="lowerLetter"/>
      <w:lvlText w:val="%5."/>
      <w:lvlJc w:val="left"/>
      <w:pPr>
        <w:ind w:left="4758" w:hanging="360"/>
      </w:pPr>
    </w:lvl>
    <w:lvl w:ilvl="5">
      <w:start w:val="1"/>
      <w:numFmt w:val="lowerRoman"/>
      <w:lvlText w:val="%6."/>
      <w:lvlJc w:val="right"/>
      <w:pPr>
        <w:ind w:left="5478" w:hanging="180"/>
      </w:pPr>
    </w:lvl>
    <w:lvl w:ilvl="6">
      <w:start w:val="1"/>
      <w:numFmt w:val="decimal"/>
      <w:lvlText w:val="%7."/>
      <w:lvlJc w:val="left"/>
      <w:pPr>
        <w:ind w:left="6198" w:hanging="360"/>
      </w:pPr>
    </w:lvl>
    <w:lvl w:ilvl="7">
      <w:start w:val="1"/>
      <w:numFmt w:val="lowerLetter"/>
      <w:lvlText w:val="%8."/>
      <w:lvlJc w:val="left"/>
      <w:pPr>
        <w:ind w:left="6918" w:hanging="360"/>
      </w:pPr>
    </w:lvl>
    <w:lvl w:ilvl="8">
      <w:start w:val="1"/>
      <w:numFmt w:val="lowerRoman"/>
      <w:lvlText w:val="%9."/>
      <w:lvlJc w:val="right"/>
      <w:pPr>
        <w:ind w:left="7638" w:hanging="180"/>
      </w:pPr>
    </w:lvl>
  </w:abstractNum>
  <w:abstractNum w:abstractNumId="1">
    <w:nsid w:val="24AE731A"/>
    <w:multiLevelType w:val="hybridMultilevel"/>
    <w:tmpl w:val="F048A4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0E77A5D"/>
    <w:multiLevelType w:val="hybridMultilevel"/>
    <w:tmpl w:val="D884BD60"/>
    <w:lvl w:ilvl="0" w:tplc="49E092BC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">
    <w:nsid w:val="5D416006"/>
    <w:multiLevelType w:val="multilevel"/>
    <w:tmpl w:val="5D416006"/>
    <w:lvl w:ilvl="0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6B7C1B"/>
    <w:multiLevelType w:val="hybridMultilevel"/>
    <w:tmpl w:val="253602E0"/>
    <w:lvl w:ilvl="0" w:tplc="AFAA9DEE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738A534E"/>
    <w:multiLevelType w:val="multilevel"/>
    <w:tmpl w:val="738A5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7370F"/>
    <w:multiLevelType w:val="hybridMultilevel"/>
    <w:tmpl w:val="14B8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F7C9F"/>
    <w:multiLevelType w:val="multilevel"/>
    <w:tmpl w:val="782F7C9F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BB470D8"/>
    <w:multiLevelType w:val="multilevel"/>
    <w:tmpl w:val="7BB470D8"/>
    <w:lvl w:ilvl="0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>
    <w:nsid w:val="7FF240A0"/>
    <w:multiLevelType w:val="hybridMultilevel"/>
    <w:tmpl w:val="9D02C85E"/>
    <w:lvl w:ilvl="0" w:tplc="041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86"/>
    <w:rsid w:val="00000EA8"/>
    <w:rsid w:val="0001542D"/>
    <w:rsid w:val="0001777C"/>
    <w:rsid w:val="00017E40"/>
    <w:rsid w:val="00021363"/>
    <w:rsid w:val="00021E37"/>
    <w:rsid w:val="00027D4A"/>
    <w:rsid w:val="00037332"/>
    <w:rsid w:val="00037F86"/>
    <w:rsid w:val="00040872"/>
    <w:rsid w:val="00043C2C"/>
    <w:rsid w:val="000448EC"/>
    <w:rsid w:val="00053C1F"/>
    <w:rsid w:val="00055CC1"/>
    <w:rsid w:val="00057DC9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0B19"/>
    <w:rsid w:val="000D2009"/>
    <w:rsid w:val="000D3672"/>
    <w:rsid w:val="000D6A35"/>
    <w:rsid w:val="000E7EE0"/>
    <w:rsid w:val="000F1DA1"/>
    <w:rsid w:val="00115772"/>
    <w:rsid w:val="00115C67"/>
    <w:rsid w:val="00115CDE"/>
    <w:rsid w:val="00117290"/>
    <w:rsid w:val="00124495"/>
    <w:rsid w:val="00134E6C"/>
    <w:rsid w:val="00135B62"/>
    <w:rsid w:val="001456ED"/>
    <w:rsid w:val="00145967"/>
    <w:rsid w:val="001466EA"/>
    <w:rsid w:val="00153F73"/>
    <w:rsid w:val="0016268A"/>
    <w:rsid w:val="001738D5"/>
    <w:rsid w:val="001759B6"/>
    <w:rsid w:val="001832D9"/>
    <w:rsid w:val="00196864"/>
    <w:rsid w:val="001B1F36"/>
    <w:rsid w:val="001B2EC3"/>
    <w:rsid w:val="001B7609"/>
    <w:rsid w:val="001C4B4C"/>
    <w:rsid w:val="001D65EC"/>
    <w:rsid w:val="001E5E30"/>
    <w:rsid w:val="001E6E20"/>
    <w:rsid w:val="001E7742"/>
    <w:rsid w:val="002041A2"/>
    <w:rsid w:val="002070B6"/>
    <w:rsid w:val="002225D6"/>
    <w:rsid w:val="0023085C"/>
    <w:rsid w:val="00235D29"/>
    <w:rsid w:val="00241A38"/>
    <w:rsid w:val="00252671"/>
    <w:rsid w:val="00253C19"/>
    <w:rsid w:val="00254EA3"/>
    <w:rsid w:val="0026337B"/>
    <w:rsid w:val="00265D10"/>
    <w:rsid w:val="00270E54"/>
    <w:rsid w:val="0028268C"/>
    <w:rsid w:val="00284FCD"/>
    <w:rsid w:val="00294C39"/>
    <w:rsid w:val="002A0327"/>
    <w:rsid w:val="002A778D"/>
    <w:rsid w:val="002B784B"/>
    <w:rsid w:val="002C37ED"/>
    <w:rsid w:val="002D613D"/>
    <w:rsid w:val="002E4E21"/>
    <w:rsid w:val="002F7478"/>
    <w:rsid w:val="00300DCE"/>
    <w:rsid w:val="00304D81"/>
    <w:rsid w:val="003068D1"/>
    <w:rsid w:val="00315623"/>
    <w:rsid w:val="00326E32"/>
    <w:rsid w:val="00332856"/>
    <w:rsid w:val="003403C2"/>
    <w:rsid w:val="003404EB"/>
    <w:rsid w:val="00341917"/>
    <w:rsid w:val="00345DF1"/>
    <w:rsid w:val="003515D3"/>
    <w:rsid w:val="00354556"/>
    <w:rsid w:val="0035599D"/>
    <w:rsid w:val="00355EE1"/>
    <w:rsid w:val="003622D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04A4"/>
    <w:rsid w:val="003E1086"/>
    <w:rsid w:val="003F0BE2"/>
    <w:rsid w:val="003F34E1"/>
    <w:rsid w:val="003F7E24"/>
    <w:rsid w:val="0040689C"/>
    <w:rsid w:val="00410E40"/>
    <w:rsid w:val="004131D8"/>
    <w:rsid w:val="00417E9E"/>
    <w:rsid w:val="00421C45"/>
    <w:rsid w:val="00425624"/>
    <w:rsid w:val="00427A87"/>
    <w:rsid w:val="0043032E"/>
    <w:rsid w:val="00432F29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D6AA7"/>
    <w:rsid w:val="004E19BB"/>
    <w:rsid w:val="004F127A"/>
    <w:rsid w:val="004F6D6E"/>
    <w:rsid w:val="004F719E"/>
    <w:rsid w:val="00507F5E"/>
    <w:rsid w:val="00512EAC"/>
    <w:rsid w:val="00515EE9"/>
    <w:rsid w:val="005404BA"/>
    <w:rsid w:val="005601F5"/>
    <w:rsid w:val="00564486"/>
    <w:rsid w:val="00572C9E"/>
    <w:rsid w:val="00577B24"/>
    <w:rsid w:val="005900BB"/>
    <w:rsid w:val="005908FC"/>
    <w:rsid w:val="00593BF1"/>
    <w:rsid w:val="00595F1C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406FC"/>
    <w:rsid w:val="00643A9E"/>
    <w:rsid w:val="006501E7"/>
    <w:rsid w:val="00657DE7"/>
    <w:rsid w:val="00675AAE"/>
    <w:rsid w:val="006817DF"/>
    <w:rsid w:val="006823F2"/>
    <w:rsid w:val="006856A3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179DF"/>
    <w:rsid w:val="00725D05"/>
    <w:rsid w:val="0073520A"/>
    <w:rsid w:val="00744352"/>
    <w:rsid w:val="00744739"/>
    <w:rsid w:val="00744B37"/>
    <w:rsid w:val="007476F7"/>
    <w:rsid w:val="00762598"/>
    <w:rsid w:val="00771C0F"/>
    <w:rsid w:val="00776536"/>
    <w:rsid w:val="00776CE6"/>
    <w:rsid w:val="00790BB5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04216"/>
    <w:rsid w:val="0081088E"/>
    <w:rsid w:val="00824C95"/>
    <w:rsid w:val="00825020"/>
    <w:rsid w:val="0083536A"/>
    <w:rsid w:val="00841CF7"/>
    <w:rsid w:val="008452B0"/>
    <w:rsid w:val="0085249F"/>
    <w:rsid w:val="008614FC"/>
    <w:rsid w:val="00861590"/>
    <w:rsid w:val="00864E97"/>
    <w:rsid w:val="00870B4A"/>
    <w:rsid w:val="00872E6F"/>
    <w:rsid w:val="00877C81"/>
    <w:rsid w:val="00885F3C"/>
    <w:rsid w:val="00887F51"/>
    <w:rsid w:val="008921D6"/>
    <w:rsid w:val="008A2ECA"/>
    <w:rsid w:val="008A6B49"/>
    <w:rsid w:val="008B5EF1"/>
    <w:rsid w:val="008C005F"/>
    <w:rsid w:val="008F457E"/>
    <w:rsid w:val="008F52DF"/>
    <w:rsid w:val="008F7F29"/>
    <w:rsid w:val="00902D70"/>
    <w:rsid w:val="009152C9"/>
    <w:rsid w:val="0092036A"/>
    <w:rsid w:val="009358DE"/>
    <w:rsid w:val="0093697F"/>
    <w:rsid w:val="00936E1B"/>
    <w:rsid w:val="009371FA"/>
    <w:rsid w:val="00940DB3"/>
    <w:rsid w:val="00956FEB"/>
    <w:rsid w:val="00970C18"/>
    <w:rsid w:val="00974171"/>
    <w:rsid w:val="00976F2E"/>
    <w:rsid w:val="00980FA1"/>
    <w:rsid w:val="00985B9B"/>
    <w:rsid w:val="009908EE"/>
    <w:rsid w:val="009C7725"/>
    <w:rsid w:val="009E01E7"/>
    <w:rsid w:val="009E2A0C"/>
    <w:rsid w:val="009F5299"/>
    <w:rsid w:val="00A07312"/>
    <w:rsid w:val="00A23B05"/>
    <w:rsid w:val="00A249D9"/>
    <w:rsid w:val="00A25AAC"/>
    <w:rsid w:val="00A3561A"/>
    <w:rsid w:val="00A4247A"/>
    <w:rsid w:val="00A601EB"/>
    <w:rsid w:val="00A6588A"/>
    <w:rsid w:val="00A66A61"/>
    <w:rsid w:val="00A758FB"/>
    <w:rsid w:val="00A76B57"/>
    <w:rsid w:val="00A8389E"/>
    <w:rsid w:val="00A920A7"/>
    <w:rsid w:val="00A93E42"/>
    <w:rsid w:val="00AA2D63"/>
    <w:rsid w:val="00AB6C77"/>
    <w:rsid w:val="00AC0F4A"/>
    <w:rsid w:val="00AC5C58"/>
    <w:rsid w:val="00AD030D"/>
    <w:rsid w:val="00AD11A0"/>
    <w:rsid w:val="00AE5FA5"/>
    <w:rsid w:val="00AE7415"/>
    <w:rsid w:val="00AF313C"/>
    <w:rsid w:val="00AF6744"/>
    <w:rsid w:val="00B0070F"/>
    <w:rsid w:val="00B04DC4"/>
    <w:rsid w:val="00B26F56"/>
    <w:rsid w:val="00B319B1"/>
    <w:rsid w:val="00B329CF"/>
    <w:rsid w:val="00B33807"/>
    <w:rsid w:val="00B410DA"/>
    <w:rsid w:val="00B67988"/>
    <w:rsid w:val="00B735B5"/>
    <w:rsid w:val="00B77D92"/>
    <w:rsid w:val="00B85796"/>
    <w:rsid w:val="00B92652"/>
    <w:rsid w:val="00B94B40"/>
    <w:rsid w:val="00BA0DB1"/>
    <w:rsid w:val="00BA1FF8"/>
    <w:rsid w:val="00BA3B3D"/>
    <w:rsid w:val="00BB5E19"/>
    <w:rsid w:val="00BC5B9E"/>
    <w:rsid w:val="00BC6987"/>
    <w:rsid w:val="00BD5961"/>
    <w:rsid w:val="00BE5F05"/>
    <w:rsid w:val="00BF73A2"/>
    <w:rsid w:val="00C00B99"/>
    <w:rsid w:val="00C11274"/>
    <w:rsid w:val="00C144C0"/>
    <w:rsid w:val="00C24AA2"/>
    <w:rsid w:val="00C40ED9"/>
    <w:rsid w:val="00C606EE"/>
    <w:rsid w:val="00C63035"/>
    <w:rsid w:val="00C71E20"/>
    <w:rsid w:val="00C90782"/>
    <w:rsid w:val="00C963E4"/>
    <w:rsid w:val="00CA3652"/>
    <w:rsid w:val="00CA424C"/>
    <w:rsid w:val="00CA5B50"/>
    <w:rsid w:val="00CB2572"/>
    <w:rsid w:val="00CB3638"/>
    <w:rsid w:val="00CC311F"/>
    <w:rsid w:val="00CD1B90"/>
    <w:rsid w:val="00CD7AC6"/>
    <w:rsid w:val="00CE3ACE"/>
    <w:rsid w:val="00CF0DFD"/>
    <w:rsid w:val="00CF0F18"/>
    <w:rsid w:val="00CF0F1E"/>
    <w:rsid w:val="00CF59B9"/>
    <w:rsid w:val="00CF5B11"/>
    <w:rsid w:val="00CF7C9E"/>
    <w:rsid w:val="00D000D9"/>
    <w:rsid w:val="00D07C9D"/>
    <w:rsid w:val="00D1258E"/>
    <w:rsid w:val="00D22F29"/>
    <w:rsid w:val="00D37210"/>
    <w:rsid w:val="00D45252"/>
    <w:rsid w:val="00D577A7"/>
    <w:rsid w:val="00D73840"/>
    <w:rsid w:val="00D74F1A"/>
    <w:rsid w:val="00D95E0F"/>
    <w:rsid w:val="00DA413D"/>
    <w:rsid w:val="00DA57E5"/>
    <w:rsid w:val="00DB4D81"/>
    <w:rsid w:val="00DC0331"/>
    <w:rsid w:val="00DC2D7E"/>
    <w:rsid w:val="00DC7BAD"/>
    <w:rsid w:val="00DD75E9"/>
    <w:rsid w:val="00DE1434"/>
    <w:rsid w:val="00DE2F50"/>
    <w:rsid w:val="00DE4DE6"/>
    <w:rsid w:val="00DE6540"/>
    <w:rsid w:val="00DE6B33"/>
    <w:rsid w:val="00DE748D"/>
    <w:rsid w:val="00DF55A3"/>
    <w:rsid w:val="00E15F5A"/>
    <w:rsid w:val="00E246E6"/>
    <w:rsid w:val="00E24B63"/>
    <w:rsid w:val="00E347AC"/>
    <w:rsid w:val="00E41102"/>
    <w:rsid w:val="00E41C34"/>
    <w:rsid w:val="00E44999"/>
    <w:rsid w:val="00E54794"/>
    <w:rsid w:val="00E57D56"/>
    <w:rsid w:val="00E62A5B"/>
    <w:rsid w:val="00E665ED"/>
    <w:rsid w:val="00E67222"/>
    <w:rsid w:val="00E67D06"/>
    <w:rsid w:val="00E757C9"/>
    <w:rsid w:val="00E85309"/>
    <w:rsid w:val="00E90B4A"/>
    <w:rsid w:val="00E91B52"/>
    <w:rsid w:val="00EB0E60"/>
    <w:rsid w:val="00EB2B13"/>
    <w:rsid w:val="00EB5095"/>
    <w:rsid w:val="00ED478B"/>
    <w:rsid w:val="00EE0D0E"/>
    <w:rsid w:val="00EE0D43"/>
    <w:rsid w:val="00EE5BA1"/>
    <w:rsid w:val="00EF27A1"/>
    <w:rsid w:val="00EF6CA0"/>
    <w:rsid w:val="00F02E04"/>
    <w:rsid w:val="00F04741"/>
    <w:rsid w:val="00F048B6"/>
    <w:rsid w:val="00F12ED0"/>
    <w:rsid w:val="00F17419"/>
    <w:rsid w:val="00F252CF"/>
    <w:rsid w:val="00F279FF"/>
    <w:rsid w:val="00F47BB7"/>
    <w:rsid w:val="00F51ED8"/>
    <w:rsid w:val="00F54566"/>
    <w:rsid w:val="00F56011"/>
    <w:rsid w:val="00F57610"/>
    <w:rsid w:val="00F66C94"/>
    <w:rsid w:val="00F74264"/>
    <w:rsid w:val="00F76878"/>
    <w:rsid w:val="00F821FC"/>
    <w:rsid w:val="00F84D3E"/>
    <w:rsid w:val="00F91E1F"/>
    <w:rsid w:val="00F92407"/>
    <w:rsid w:val="00F96F1C"/>
    <w:rsid w:val="00F975C4"/>
    <w:rsid w:val="00FA0F2F"/>
    <w:rsid w:val="00FA5D87"/>
    <w:rsid w:val="00FB6AFD"/>
    <w:rsid w:val="00FC6A27"/>
    <w:rsid w:val="00FD0591"/>
    <w:rsid w:val="00FD19D6"/>
    <w:rsid w:val="00FD6C5F"/>
    <w:rsid w:val="00FE0E8C"/>
    <w:rsid w:val="00FE27F1"/>
    <w:rsid w:val="00FE654B"/>
    <w:rsid w:val="00FE6917"/>
    <w:rsid w:val="00FE7B8D"/>
    <w:rsid w:val="00FF50F2"/>
    <w:rsid w:val="2B196AB3"/>
    <w:rsid w:val="5194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a9">
    <w:name w:val="Title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Normal (Web)"/>
    <w:basedOn w:val="a"/>
    <w:uiPriority w:val="99"/>
    <w:pPr>
      <w:spacing w:after="168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 Знак Знак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link w:val="af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Calibri" w:hAnsi="Calibri" w:cs="Calibri"/>
      <w:lang w:eastAsia="en-US"/>
    </w:rPr>
  </w:style>
  <w:style w:type="character" w:customStyle="1" w:styleId="a8">
    <w:name w:val="Основной текст с отступом Знак"/>
    <w:basedOn w:val="a0"/>
    <w:link w:val="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 Знак Знак Знак Знак Знак Знак Знак Знак Знак Знак3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</w:style>
  <w:style w:type="paragraph" w:customStyle="1" w:styleId="2">
    <w:name w:val="Знак Знак Знак Знак Знак Знак Знак Знак Знак Знак Знак Знак2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Times New Roman"/>
    </w:rPr>
  </w:style>
  <w:style w:type="paragraph" w:customStyle="1" w:styleId="11">
    <w:name w:val="Знак Знак Знак Знак Знак Знак Знак Знак Знак Знак Знак Знак1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a9">
    <w:name w:val="Title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Normal (Web)"/>
    <w:basedOn w:val="a"/>
    <w:uiPriority w:val="99"/>
    <w:pPr>
      <w:spacing w:after="168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 Знак Знак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link w:val="af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Calibri" w:hAnsi="Calibri" w:cs="Calibri"/>
      <w:lang w:eastAsia="en-US"/>
    </w:rPr>
  </w:style>
  <w:style w:type="character" w:customStyle="1" w:styleId="a8">
    <w:name w:val="Основной текст с отступом Знак"/>
    <w:basedOn w:val="a0"/>
    <w:link w:val="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 Знак Знак Знак Знак Знак Знак Знак Знак Знак Знак3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</w:style>
  <w:style w:type="paragraph" w:customStyle="1" w:styleId="2">
    <w:name w:val="Знак Знак Знак Знак Знак Знак Знак Знак Знак Знак Знак Знак2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Times New Roman"/>
    </w:rPr>
  </w:style>
  <w:style w:type="paragraph" w:customStyle="1" w:styleId="11">
    <w:name w:val="Знак Знак Знак Знак Знак Знак Знак Знак Знак Знак Знак Знак1"/>
    <w:basedOn w:val="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1008-6D87-4A90-8DE3-F2F82DE5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Хомушку Урана Данзы-Белековна</dc:creator>
  <cp:keywords/>
  <cp:lastModifiedBy>User</cp:lastModifiedBy>
  <cp:revision>8</cp:revision>
  <cp:lastPrinted>2025-03-25T08:08:00Z</cp:lastPrinted>
  <dcterms:created xsi:type="dcterms:W3CDTF">2025-03-25T05:57:00Z</dcterms:created>
  <dcterms:modified xsi:type="dcterms:W3CDTF">2025-03-28T08:12:00Z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B617CCF8304148C09E5E3729C34B6969_12</vt:lpwstr>
  </property>
</Properties>
</file>