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28" w:rsidRPr="00263481" w:rsidRDefault="00A53228" w:rsidP="00A53228">
      <w:pPr>
        <w:ind w:left="-360" w:right="-5" w:firstLine="360"/>
        <w:jc w:val="center"/>
        <w:rPr>
          <w:color w:val="003366"/>
          <w:szCs w:val="28"/>
        </w:rPr>
      </w:pPr>
      <w:r w:rsidRPr="00263481">
        <w:rPr>
          <w:noProof/>
          <w:szCs w:val="28"/>
          <w:lang w:eastAsia="ru-RU"/>
        </w:rPr>
        <w:drawing>
          <wp:inline distT="0" distB="0" distL="0" distR="0" wp14:anchorId="51E610E0" wp14:editId="022241BD">
            <wp:extent cx="1087120" cy="1026160"/>
            <wp:effectExtent l="0" t="0" r="0" b="254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481">
        <w:rPr>
          <w:szCs w:val="28"/>
        </w:rPr>
        <w:t xml:space="preserve">                    </w:t>
      </w:r>
    </w:p>
    <w:p w:rsidR="00A53228" w:rsidRPr="00263481" w:rsidRDefault="00A53228" w:rsidP="00A53228">
      <w:pPr>
        <w:ind w:left="-360" w:right="-5" w:firstLine="360"/>
        <w:jc w:val="both"/>
        <w:rPr>
          <w:szCs w:val="28"/>
        </w:rPr>
      </w:pPr>
      <w:r w:rsidRPr="00263481">
        <w:rPr>
          <w:szCs w:val="28"/>
        </w:rPr>
        <w:t xml:space="preserve">                     </w:t>
      </w:r>
      <w:r>
        <w:rPr>
          <w:szCs w:val="28"/>
        </w:rPr>
        <w:t xml:space="preserve"> </w:t>
      </w:r>
    </w:p>
    <w:p w:rsidR="00A53228" w:rsidRPr="00263481" w:rsidRDefault="00A53228" w:rsidP="00A53228">
      <w:pPr>
        <w:ind w:left="-360" w:right="-5"/>
        <w:jc w:val="center"/>
        <w:rPr>
          <w:b/>
          <w:szCs w:val="28"/>
        </w:rPr>
      </w:pPr>
      <w:r w:rsidRPr="00263481">
        <w:rPr>
          <w:b/>
          <w:szCs w:val="28"/>
        </w:rPr>
        <w:t xml:space="preserve">РЕСПУБЛИКА ТЫВА              </w:t>
      </w:r>
      <w:r>
        <w:rPr>
          <w:b/>
          <w:szCs w:val="28"/>
        </w:rPr>
        <w:t xml:space="preserve">               </w:t>
      </w:r>
      <w:proofErr w:type="spellStart"/>
      <w:r w:rsidRPr="00263481">
        <w:rPr>
          <w:b/>
          <w:szCs w:val="28"/>
        </w:rPr>
        <w:t>ТЫВА</w:t>
      </w:r>
      <w:proofErr w:type="spellEnd"/>
      <w:r w:rsidRPr="00263481">
        <w:rPr>
          <w:b/>
          <w:szCs w:val="28"/>
        </w:rPr>
        <w:t xml:space="preserve"> РЕСПУБЛИКА                   </w:t>
      </w:r>
      <w:r>
        <w:rPr>
          <w:b/>
          <w:szCs w:val="28"/>
        </w:rPr>
        <w:t xml:space="preserve">                </w:t>
      </w:r>
      <w:r w:rsidRPr="00263481">
        <w:rPr>
          <w:b/>
          <w:szCs w:val="28"/>
        </w:rPr>
        <w:t>ХУРАЛ ПРЕДСТАВИТ</w:t>
      </w:r>
      <w:r>
        <w:rPr>
          <w:b/>
          <w:szCs w:val="28"/>
        </w:rPr>
        <w:t>ЕЛЕЙ                     ЧАА-ХОЛ КОЖУУННУН</w:t>
      </w:r>
    </w:p>
    <w:p w:rsidR="00A53228" w:rsidRPr="00263481" w:rsidRDefault="00A53228" w:rsidP="00A53228">
      <w:pPr>
        <w:pBdr>
          <w:bottom w:val="single" w:sz="6" w:space="1" w:color="auto"/>
        </w:pBdr>
        <w:ind w:left="-360" w:right="-5"/>
        <w:jc w:val="center"/>
        <w:rPr>
          <w:b/>
          <w:szCs w:val="28"/>
        </w:rPr>
      </w:pPr>
      <w:r>
        <w:rPr>
          <w:b/>
          <w:szCs w:val="28"/>
        </w:rPr>
        <w:t>ЧАА-ХОЛЬСКОГО</w:t>
      </w:r>
      <w:r w:rsidRPr="00263481">
        <w:rPr>
          <w:b/>
          <w:szCs w:val="28"/>
        </w:rPr>
        <w:t xml:space="preserve">КОЖУУНА             </w:t>
      </w:r>
      <w:r>
        <w:rPr>
          <w:b/>
          <w:szCs w:val="28"/>
        </w:rPr>
        <w:t xml:space="preserve">     </w:t>
      </w:r>
      <w:r w:rsidRPr="00263481">
        <w:rPr>
          <w:b/>
          <w:szCs w:val="28"/>
        </w:rPr>
        <w:t xml:space="preserve">ТОЛЭЭЛЕКЧИЛЕР </w:t>
      </w:r>
      <w:r>
        <w:rPr>
          <w:b/>
          <w:szCs w:val="28"/>
        </w:rPr>
        <w:t>ХУРАЛ</w:t>
      </w:r>
    </w:p>
    <w:p w:rsidR="00A53228" w:rsidRPr="00263481" w:rsidRDefault="00A53228" w:rsidP="00A53228">
      <w:pPr>
        <w:ind w:right="-5" w:firstLine="540"/>
        <w:jc w:val="right"/>
        <w:rPr>
          <w:bCs/>
          <w:szCs w:val="28"/>
        </w:rPr>
      </w:pPr>
      <w:r w:rsidRPr="00263481">
        <w:rPr>
          <w:b/>
          <w:bCs/>
          <w:szCs w:val="28"/>
        </w:rPr>
        <w:t xml:space="preserve">                         </w:t>
      </w:r>
    </w:p>
    <w:p w:rsidR="00A53228" w:rsidRPr="00263481" w:rsidRDefault="00A53228" w:rsidP="00A1517F">
      <w:pPr>
        <w:ind w:right="-5"/>
        <w:jc w:val="center"/>
        <w:rPr>
          <w:szCs w:val="28"/>
        </w:rPr>
      </w:pPr>
      <w:r w:rsidRPr="00263481">
        <w:rPr>
          <w:b/>
          <w:bCs/>
          <w:szCs w:val="28"/>
        </w:rPr>
        <w:t>РЕШЕНИЕ</w:t>
      </w:r>
    </w:p>
    <w:p w:rsidR="00A53228" w:rsidRPr="00263481" w:rsidRDefault="00EC055D" w:rsidP="00A1517F">
      <w:pPr>
        <w:ind w:right="-5"/>
        <w:jc w:val="center"/>
        <w:rPr>
          <w:b/>
          <w:szCs w:val="28"/>
        </w:rPr>
      </w:pPr>
      <w:r>
        <w:rPr>
          <w:b/>
          <w:szCs w:val="28"/>
        </w:rPr>
        <w:t>___</w:t>
      </w:r>
      <w:r w:rsidR="008A4508">
        <w:rPr>
          <w:b/>
          <w:szCs w:val="28"/>
        </w:rPr>
        <w:t xml:space="preserve"> мая 2023</w:t>
      </w:r>
      <w:r w:rsidR="00A53228" w:rsidRPr="00263481">
        <w:rPr>
          <w:b/>
          <w:szCs w:val="28"/>
        </w:rPr>
        <w:t xml:space="preserve"> года                                                                     </w:t>
      </w:r>
      <w:r w:rsidR="00A53228">
        <w:rPr>
          <w:b/>
          <w:szCs w:val="28"/>
        </w:rPr>
        <w:t xml:space="preserve">№ </w:t>
      </w:r>
      <w:r>
        <w:rPr>
          <w:b/>
          <w:szCs w:val="28"/>
        </w:rPr>
        <w:t>___</w:t>
      </w:r>
    </w:p>
    <w:p w:rsidR="00A53228" w:rsidRPr="00263481" w:rsidRDefault="00A53228" w:rsidP="00A53228">
      <w:pPr>
        <w:ind w:left="-360" w:right="-5"/>
        <w:rPr>
          <w:b/>
          <w:szCs w:val="28"/>
        </w:rPr>
      </w:pPr>
    </w:p>
    <w:p w:rsidR="00A53228" w:rsidRPr="00263481" w:rsidRDefault="00A53228" w:rsidP="00A1517F">
      <w:pPr>
        <w:ind w:right="-5"/>
        <w:jc w:val="center"/>
        <w:rPr>
          <w:b/>
          <w:szCs w:val="28"/>
        </w:rPr>
      </w:pPr>
      <w:r w:rsidRPr="00263481">
        <w:rPr>
          <w:b/>
          <w:szCs w:val="28"/>
        </w:rPr>
        <w:t>с. Чаа-Холь</w:t>
      </w:r>
    </w:p>
    <w:p w:rsidR="00E4454F" w:rsidRDefault="00E4454F">
      <w:pPr>
        <w:pStyle w:val="ConsPlusTitle"/>
        <w:jc w:val="center"/>
      </w:pPr>
    </w:p>
    <w:p w:rsidR="00BD3F8D" w:rsidRDefault="00A53228" w:rsidP="00A53228">
      <w:pPr>
        <w:pStyle w:val="ConsPlusTitle"/>
        <w:jc w:val="center"/>
      </w:pPr>
      <w:r>
        <w:t xml:space="preserve">Об утверждении положения «О порядке присвоения адресов объектам недвижимости на территории муниципального района </w:t>
      </w:r>
    </w:p>
    <w:p w:rsidR="00E4454F" w:rsidRDefault="00A53228" w:rsidP="00BD3F8D">
      <w:pPr>
        <w:pStyle w:val="ConsPlusTitle"/>
        <w:jc w:val="center"/>
      </w:pPr>
      <w:r>
        <w:t>«Чаа-Хольский кожуун Республики Тыва»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19 ноября 2014 г. N 1221 "Об утверждении Правил присвоения, изменения и аннулирования адресов", руководствуясь </w:t>
      </w:r>
      <w:hyperlink r:id="rId8">
        <w:r>
          <w:rPr>
            <w:color w:val="0000FF"/>
          </w:rPr>
          <w:t>Уставом</w:t>
        </w:r>
      </w:hyperlink>
      <w:r>
        <w:t xml:space="preserve"> </w:t>
      </w:r>
      <w:r w:rsidR="00BD3F8D">
        <w:t xml:space="preserve">муниципального района «Чаа-Хольский кожуун </w:t>
      </w:r>
      <w:r>
        <w:t xml:space="preserve">Республики Тыва", в целях установления единых правил присвоения и изменения адресов объектам недвижимости на территории </w:t>
      </w:r>
      <w:r w:rsidR="00BD3F8D">
        <w:t>муниципального района «Чаа-Хольский кожуун Республики Тыва»</w:t>
      </w:r>
      <w:r>
        <w:t xml:space="preserve"> Хурал представителей </w:t>
      </w:r>
      <w:r w:rsidR="00BD3F8D">
        <w:t>Чаа-Хольского кожууна Республики Тыва</w:t>
      </w:r>
      <w:r>
        <w:t xml:space="preserve"> решил:</w:t>
      </w:r>
    </w:p>
    <w:p w:rsidR="00A53228" w:rsidRDefault="00A53228">
      <w:pPr>
        <w:pStyle w:val="ConsPlusNormal"/>
        <w:ind w:firstLine="540"/>
        <w:jc w:val="both"/>
      </w:pPr>
    </w:p>
    <w:p w:rsidR="00E4454F" w:rsidRDefault="00E4454F" w:rsidP="00A53228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8">
        <w:r>
          <w:rPr>
            <w:color w:val="0000FF"/>
          </w:rPr>
          <w:t>Положение</w:t>
        </w:r>
      </w:hyperlink>
      <w:r>
        <w:t xml:space="preserve"> "О порядке присвоения адресов объектам недвижимости на территории </w:t>
      </w:r>
      <w:r w:rsidR="00BD3F8D">
        <w:t xml:space="preserve">муниципального района «Чаа-Хольский кожуун </w:t>
      </w:r>
      <w:r>
        <w:t>Республики Тыва".</w:t>
      </w:r>
    </w:p>
    <w:p w:rsidR="00E4454F" w:rsidRDefault="00BD3F8D" w:rsidP="00A53228">
      <w:pPr>
        <w:pStyle w:val="ConsPlusNormal"/>
        <w:ind w:firstLine="540"/>
        <w:jc w:val="both"/>
      </w:pPr>
      <w:r>
        <w:t>2</w:t>
      </w:r>
      <w:r w:rsidR="00E4454F">
        <w:t xml:space="preserve">. Опубликовать настоящее решение в средствах массовой информации и разместить на официальном сайте </w:t>
      </w:r>
      <w:r w:rsidR="000D1315">
        <w:t xml:space="preserve">Хурал представителей Чаа-Хольского кожууна Республики Тыва. </w:t>
      </w:r>
    </w:p>
    <w:p w:rsidR="00E4454F" w:rsidRDefault="00BD3F8D" w:rsidP="00A53228">
      <w:pPr>
        <w:pStyle w:val="ConsPlusNormal"/>
        <w:ind w:firstLine="540"/>
        <w:jc w:val="both"/>
      </w:pPr>
      <w:r>
        <w:t>3</w:t>
      </w:r>
      <w:r w:rsidR="00E4454F">
        <w:t xml:space="preserve">. Контроль за исполнением настоящего решения возложить на </w:t>
      </w:r>
      <w:r>
        <w:t>отдел земельным и имущественным отношениям администрации Чаа-Хольского кожууна</w:t>
      </w:r>
      <w:r w:rsidR="00E4454F">
        <w:t>.</w:t>
      </w:r>
    </w:p>
    <w:p w:rsidR="00E4454F" w:rsidRDefault="00BD3F8D" w:rsidP="00A53228">
      <w:pPr>
        <w:pStyle w:val="ConsPlusNormal"/>
        <w:ind w:firstLine="540"/>
        <w:jc w:val="both"/>
      </w:pPr>
      <w:r>
        <w:t>4</w:t>
      </w:r>
      <w:r w:rsidR="00E4454F">
        <w:t>. Настоящее решение вступает в силу со дня его официального опубликования.</w:t>
      </w:r>
    </w:p>
    <w:p w:rsidR="00E4454F" w:rsidRDefault="00E4454F">
      <w:pPr>
        <w:pStyle w:val="ConsPlusNormal"/>
        <w:jc w:val="both"/>
      </w:pPr>
    </w:p>
    <w:p w:rsidR="00A53228" w:rsidRPr="00F77666" w:rsidRDefault="00A53228" w:rsidP="00A53228">
      <w:pPr>
        <w:tabs>
          <w:tab w:val="left" w:pos="9128"/>
        </w:tabs>
        <w:autoSpaceDE w:val="0"/>
        <w:autoSpaceDN w:val="0"/>
        <w:ind w:left="142" w:right="-5" w:firstLine="540"/>
        <w:jc w:val="both"/>
        <w:rPr>
          <w:rFonts w:cs="Times New Roman"/>
          <w:szCs w:val="28"/>
        </w:rPr>
      </w:pPr>
    </w:p>
    <w:p w:rsidR="00A53228" w:rsidRPr="00F77666" w:rsidRDefault="00A53228" w:rsidP="00A53228">
      <w:pPr>
        <w:tabs>
          <w:tab w:val="left" w:pos="9128"/>
        </w:tabs>
        <w:ind w:right="-5"/>
        <w:jc w:val="both"/>
        <w:rPr>
          <w:rFonts w:cs="Times New Roman"/>
          <w:szCs w:val="28"/>
        </w:rPr>
      </w:pPr>
      <w:r w:rsidRPr="00F77666">
        <w:rPr>
          <w:rFonts w:cs="Times New Roman"/>
          <w:szCs w:val="28"/>
        </w:rPr>
        <w:t>Глава-председатель Хурала представителей</w:t>
      </w:r>
    </w:p>
    <w:p w:rsidR="00A53228" w:rsidRPr="00F77666" w:rsidRDefault="00A53228" w:rsidP="00A53228">
      <w:pPr>
        <w:tabs>
          <w:tab w:val="left" w:pos="9128"/>
        </w:tabs>
        <w:ind w:right="-5"/>
        <w:jc w:val="both"/>
        <w:rPr>
          <w:rFonts w:cs="Times New Roman"/>
          <w:szCs w:val="28"/>
        </w:rPr>
      </w:pPr>
      <w:r w:rsidRPr="00F77666">
        <w:rPr>
          <w:rFonts w:cs="Times New Roman"/>
          <w:szCs w:val="28"/>
        </w:rPr>
        <w:t xml:space="preserve">Чаа-Хольского кожууна </w:t>
      </w:r>
    </w:p>
    <w:p w:rsidR="00A53228" w:rsidRPr="00F77666" w:rsidRDefault="00A53228" w:rsidP="00A53228">
      <w:pPr>
        <w:tabs>
          <w:tab w:val="left" w:pos="9128"/>
        </w:tabs>
        <w:ind w:right="-5"/>
        <w:jc w:val="both"/>
        <w:rPr>
          <w:rFonts w:cs="Times New Roman"/>
          <w:szCs w:val="28"/>
        </w:rPr>
      </w:pPr>
      <w:r w:rsidRPr="00F77666">
        <w:rPr>
          <w:rFonts w:cs="Times New Roman"/>
          <w:szCs w:val="28"/>
        </w:rPr>
        <w:t xml:space="preserve">Республики Тыва                                               </w:t>
      </w:r>
      <w:r>
        <w:rPr>
          <w:rFonts w:cs="Times New Roman"/>
          <w:szCs w:val="28"/>
        </w:rPr>
        <w:t xml:space="preserve">                     </w:t>
      </w:r>
      <w:r w:rsidRPr="00F77666">
        <w:rPr>
          <w:rFonts w:cs="Times New Roman"/>
          <w:szCs w:val="28"/>
        </w:rPr>
        <w:t xml:space="preserve">       </w:t>
      </w:r>
      <w:r w:rsidR="008A4508">
        <w:rPr>
          <w:rFonts w:cs="Times New Roman"/>
          <w:szCs w:val="28"/>
        </w:rPr>
        <w:t xml:space="preserve"> </w:t>
      </w:r>
      <w:r w:rsidRPr="00F77666">
        <w:rPr>
          <w:rFonts w:cs="Times New Roman"/>
          <w:szCs w:val="28"/>
        </w:rPr>
        <w:t xml:space="preserve">                  А. Чамбал</w:t>
      </w:r>
    </w:p>
    <w:p w:rsidR="00B967CE" w:rsidRDefault="00B967CE" w:rsidP="00A53228">
      <w:pPr>
        <w:pStyle w:val="ConsPlusNormal"/>
      </w:pPr>
    </w:p>
    <w:p w:rsidR="00BD3F8D" w:rsidRDefault="00BD3F8D" w:rsidP="000D1315">
      <w:pPr>
        <w:pStyle w:val="ConsPlusNormal"/>
      </w:pPr>
    </w:p>
    <w:p w:rsidR="00E4454F" w:rsidRDefault="00E4454F">
      <w:pPr>
        <w:pStyle w:val="ConsPlusNormal"/>
        <w:jc w:val="right"/>
        <w:outlineLvl w:val="0"/>
      </w:pPr>
      <w:r>
        <w:lastRenderedPageBreak/>
        <w:t>Утверждено</w:t>
      </w:r>
    </w:p>
    <w:p w:rsidR="00BD3F8D" w:rsidRDefault="00E4454F">
      <w:pPr>
        <w:pStyle w:val="ConsPlusNormal"/>
        <w:jc w:val="right"/>
      </w:pPr>
      <w:r>
        <w:t xml:space="preserve">Решением Хурала представителей </w:t>
      </w:r>
    </w:p>
    <w:p w:rsidR="00E4454F" w:rsidRDefault="00BD3F8D">
      <w:pPr>
        <w:pStyle w:val="ConsPlusNormal"/>
        <w:jc w:val="right"/>
      </w:pPr>
      <w:r>
        <w:t>Чаа-Хольского кожууна</w:t>
      </w:r>
    </w:p>
    <w:p w:rsidR="00E4454F" w:rsidRDefault="00EC055D">
      <w:pPr>
        <w:pStyle w:val="ConsPlusNormal"/>
        <w:jc w:val="right"/>
      </w:pPr>
      <w:r>
        <w:t>от __</w:t>
      </w:r>
      <w:r w:rsidR="00BD3F8D">
        <w:t xml:space="preserve"> мая 2023</w:t>
      </w:r>
      <w:r w:rsidR="008A4508">
        <w:t xml:space="preserve"> г. №</w:t>
      </w:r>
      <w:r w:rsidR="00E4454F">
        <w:t xml:space="preserve"> </w:t>
      </w:r>
      <w:r>
        <w:t>__</w:t>
      </w:r>
      <w:bookmarkStart w:id="0" w:name="_GoBack"/>
      <w:bookmarkEnd w:id="0"/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Title"/>
        <w:jc w:val="center"/>
      </w:pPr>
      <w:bookmarkStart w:id="1" w:name="P28"/>
      <w:bookmarkEnd w:id="1"/>
      <w:r>
        <w:t>ПОЛОЖЕНИЕ</w:t>
      </w:r>
    </w:p>
    <w:p w:rsidR="00BD3F8D" w:rsidRDefault="00E4454F">
      <w:pPr>
        <w:pStyle w:val="ConsPlusTitle"/>
        <w:jc w:val="center"/>
      </w:pPr>
      <w:r>
        <w:t xml:space="preserve">О ПОРЯДКЕ ПРИСВОЕНИЯ АДРЕСОВ </w:t>
      </w:r>
    </w:p>
    <w:p w:rsidR="00E4454F" w:rsidRDefault="00E4454F">
      <w:pPr>
        <w:pStyle w:val="ConsPlusTitle"/>
        <w:jc w:val="center"/>
      </w:pPr>
      <w:r>
        <w:t>ОБЪЕКТАМ НЕДВИЖИМОСТИ</w:t>
      </w:r>
    </w:p>
    <w:p w:rsidR="00BD3F8D" w:rsidRDefault="00E4454F">
      <w:pPr>
        <w:pStyle w:val="ConsPlusTitle"/>
        <w:jc w:val="center"/>
      </w:pPr>
      <w:r>
        <w:t xml:space="preserve">НА ТЕРРИТОРИИ </w:t>
      </w:r>
      <w:r w:rsidR="00BD3F8D">
        <w:t xml:space="preserve">МУНИЦИПАЛЬНОГО РАЙОНА </w:t>
      </w:r>
    </w:p>
    <w:p w:rsidR="00E4454F" w:rsidRDefault="00BD3F8D">
      <w:pPr>
        <w:pStyle w:val="ConsPlusTitle"/>
        <w:jc w:val="center"/>
      </w:pPr>
      <w:r>
        <w:t xml:space="preserve">«ЧАА-ХОЛЬСКИЙ КОЖУУН </w:t>
      </w:r>
      <w:r w:rsidR="00E4454F">
        <w:t>РЕСПУБЛИКИ ТЫВА"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jc w:val="center"/>
        <w:outlineLvl w:val="1"/>
      </w:pPr>
      <w:r>
        <w:t>I. Общие положения</w:t>
      </w:r>
    </w:p>
    <w:p w:rsidR="00E4454F" w:rsidRDefault="00E4454F">
      <w:pPr>
        <w:pStyle w:val="ConsPlusNormal"/>
        <w:jc w:val="both"/>
      </w:pPr>
    </w:p>
    <w:p w:rsidR="00E4454F" w:rsidRDefault="00E4454F" w:rsidP="0054709E">
      <w:pPr>
        <w:pStyle w:val="ConsPlusNormal"/>
        <w:numPr>
          <w:ilvl w:val="1"/>
          <w:numId w:val="1"/>
        </w:numPr>
        <w:ind w:left="0" w:firstLine="567"/>
        <w:jc w:val="both"/>
      </w:pPr>
      <w:r>
        <w:t xml:space="preserve">Настоящее Положение устанавливает единый порядок присвоения, изменения, аннулирования адресов земельных участков, зданий, строений, сооружений, объектов незавершенного строительства на территории </w:t>
      </w:r>
      <w:r w:rsidR="00BD3F8D">
        <w:t>муниципального района «Чаа-Хольский кожуун Республики Тыва».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1.2. В настоящем Положении используются следующие основные термины и понятия: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</w:t>
      </w:r>
      <w:proofErr w:type="spellStart"/>
      <w:r w:rsidRPr="003675D5">
        <w:t>адресообразующие</w:t>
      </w:r>
      <w:proofErr w:type="spellEnd"/>
      <w:r w:rsidRPr="003675D5"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E4454F" w:rsidRPr="0054709E" w:rsidRDefault="00E4454F">
      <w:pPr>
        <w:pStyle w:val="ConsPlusNormal"/>
        <w:spacing w:before="280"/>
        <w:ind w:firstLine="540"/>
        <w:jc w:val="both"/>
        <w:rPr>
          <w:highlight w:val="yellow"/>
        </w:rPr>
      </w:pPr>
      <w:r w:rsidRPr="003675D5">
        <w:t>"элемент планировочной структуры" - зона (массив), район (в том</w:t>
      </w:r>
      <w:r w:rsidR="00FA2B9D">
        <w:t xml:space="preserve"> числе жилой район, микрорайон</w:t>
      </w:r>
      <w:r w:rsidR="003675D5" w:rsidRPr="00FA2B9D">
        <w:t>)</w:t>
      </w:r>
      <w:r w:rsidRPr="00FA2B9D">
        <w:t>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"элемент улично-дорожной сети" - улица, переулок, площадь, тупик, аллея и иное;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"земельный участок" - часть земной поверхности, границы которой определены в соответствии с федеральным законодательством;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 xml:space="preserve">"здание"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проживания и (или) деятельности людей, размещения производства, хранения </w:t>
      </w:r>
      <w:r w:rsidRPr="003675D5">
        <w:lastRenderedPageBreak/>
        <w:t>продукции или содержания животных;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"помещение" - часть объема здания или сооружения, имеющая определенное назначение и ограниченная строительными конструкциями;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"сооружение"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"объект незавершенного строительства" - объект, строительство которого не завершено;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"адрес" - структурированное описание по установленной форме совокупности реквизитов местоположения объекта недвижимости на местности;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"адресный номер" - реквизит адреса, представляющий собой последовательность цифр с возможным добавлением буквенной или цифровой литеры;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"адресация" - присвоение адреса объекту недвижимости;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"переадресация" - изменение адреса объекта недвижимости;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 xml:space="preserve">"адресный реестр" - банк </w:t>
      </w:r>
      <w:proofErr w:type="spellStart"/>
      <w:r w:rsidRPr="003675D5">
        <w:t>пространственно</w:t>
      </w:r>
      <w:proofErr w:type="spellEnd"/>
      <w:r w:rsidRPr="003675D5">
        <w:t xml:space="preserve"> привязанной адресной информации о местоположении земельных участков, зданий, строений, сооружений и объектов незавершенного строительства;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"микрорайон" - элемент планировочной структуры, не расчлененный магистральными улицами, являющийся либо селитебной, либо ландшафтно-рекреационной территорией в установленных границах;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"аллея, улица, переулок, проезд, тупик и т.д." - поименованные элементы планировочной структуры, обеспечивающие транспортные и пешеходные связи между жилыми районами, промышленными зонами, общественными центрами, кварталами, имеющие линейные фиксированные по всей длине границы, начало и окончание;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"площадь" - поименованный элемент планировочной структуры, имеющий замкнутые границы;</w:t>
      </w:r>
    </w:p>
    <w:p w:rsidR="00E4454F" w:rsidRPr="003675D5" w:rsidRDefault="00E4454F">
      <w:pPr>
        <w:pStyle w:val="ConsPlusNormal"/>
        <w:spacing w:before="280"/>
        <w:ind w:firstLine="540"/>
        <w:jc w:val="both"/>
      </w:pPr>
      <w:r w:rsidRPr="003675D5">
        <w:t>"кадастровый номер" - не повторяющийся во времени и на территории Российской Федерации государственный учетный номер.</w:t>
      </w:r>
    </w:p>
    <w:p w:rsidR="00E4454F" w:rsidRDefault="00E4454F">
      <w:pPr>
        <w:pStyle w:val="ConsPlusNormal"/>
        <w:spacing w:before="280"/>
        <w:ind w:firstLine="540"/>
        <w:jc w:val="both"/>
      </w:pPr>
      <w:r w:rsidRPr="003675D5">
        <w:t xml:space="preserve">1.3. Категории улиц и дорог при присвоении адресов объектам недвижимости определяются в соответствии со </w:t>
      </w:r>
      <w:hyperlink r:id="rId9">
        <w:r w:rsidRPr="003675D5">
          <w:rPr>
            <w:color w:val="0000FF"/>
          </w:rPr>
          <w:t>СНиП 2.07.01-89</w:t>
        </w:r>
      </w:hyperlink>
      <w:r w:rsidRPr="003675D5">
        <w:t xml:space="preserve"> "Градостроительство. Планировка и застройка городских и сельских поселений".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lastRenderedPageBreak/>
        <w:t xml:space="preserve">1.4. Уполномоченным органом присвоения, изменения, аннулирования адресов земельных участков, зданий, строений, сооружений, объектов незавершенного строительства на территории </w:t>
      </w:r>
      <w:r w:rsidR="0054709E">
        <w:t xml:space="preserve">муниципального района «Чаа-Хольский кожуун Республики Тыва </w:t>
      </w:r>
      <w:r>
        <w:t xml:space="preserve">является структурное подразделение </w:t>
      </w:r>
      <w:r w:rsidR="0054709E">
        <w:t xml:space="preserve">администрации Чаа-Хольского кожууна </w:t>
      </w:r>
      <w:r>
        <w:t xml:space="preserve">- </w:t>
      </w:r>
      <w:r w:rsidR="0054709E">
        <w:t>отдел</w:t>
      </w:r>
      <w:r>
        <w:t xml:space="preserve"> архитектуры</w:t>
      </w:r>
      <w:r w:rsidR="00D208FC">
        <w:t>, строительству и ЖКХ</w:t>
      </w:r>
      <w:r>
        <w:t>.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jc w:val="center"/>
        <w:outlineLvl w:val="1"/>
      </w:pPr>
      <w:r>
        <w:t>II. Структура адреса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ind w:firstLine="540"/>
        <w:jc w:val="both"/>
      </w:pPr>
      <w:bookmarkStart w:id="2" w:name="P62"/>
      <w:bookmarkEnd w:id="2"/>
      <w:r>
        <w:t xml:space="preserve">2.1. Структура адреса включает в себя следующую последовательность </w:t>
      </w:r>
      <w:proofErr w:type="spellStart"/>
      <w:r>
        <w:t>адресообразующих</w:t>
      </w:r>
      <w:proofErr w:type="spellEnd"/>
      <w:r>
        <w:t xml:space="preserve"> элементов, описанных идентифицирующими их реквизитами (далее - реквизит адреса):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наименование страны (Российская Федерация);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наименование субъекта Российской Федерации (Республика Тыва);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в) наименование </w:t>
      </w:r>
      <w:r w:rsidR="00D208FC">
        <w:t>муниципального района</w:t>
      </w:r>
      <w:r>
        <w:t xml:space="preserve"> (</w:t>
      </w:r>
      <w:r w:rsidR="00D208FC">
        <w:t>муниципальный район</w:t>
      </w:r>
      <w:r>
        <w:t xml:space="preserve"> "</w:t>
      </w:r>
      <w:r w:rsidR="00D208FC">
        <w:t>Чаа-Хольский кожуун Республики Тыва</w:t>
      </w:r>
      <w:r>
        <w:t>")</w:t>
      </w:r>
      <w:r w:rsidR="00D208FC">
        <w:t xml:space="preserve"> и </w:t>
      </w:r>
      <w:r w:rsidR="003675D5">
        <w:t xml:space="preserve">наименование </w:t>
      </w:r>
      <w:r w:rsidR="00D208FC">
        <w:t>сельского поселения</w:t>
      </w:r>
      <w:r>
        <w:t>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г) наименование элемента планировочной структуры;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д) наименование элемента улично-дорожной сети;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е) номер земельного участка;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ж) тип и номер здания, сооружения или объекта незавершенного строительства;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з) тип и номер помещения, расположенного в здании или сооружении.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2.2.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>
        <w:t>адресообразующих</w:t>
      </w:r>
      <w:proofErr w:type="spellEnd"/>
      <w:r>
        <w:t xml:space="preserve"> элементов в структуре адреса, указанная в </w:t>
      </w:r>
      <w:hyperlink w:anchor="P62">
        <w:r>
          <w:rPr>
            <w:color w:val="0000FF"/>
          </w:rPr>
          <w:t>пункте 2.1</w:t>
        </w:r>
      </w:hyperlink>
      <w:r>
        <w:t xml:space="preserve"> настоящего Положения.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2.3. Перечень </w:t>
      </w:r>
      <w:proofErr w:type="spellStart"/>
      <w:r>
        <w:t>адресообразующих</w:t>
      </w:r>
      <w:proofErr w:type="spellEnd"/>
      <w:r>
        <w:t xml:space="preserve"> элементов, используемых при описании адреса объекта адресации, зависит от вида объекта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3" w:name="P73"/>
      <w:bookmarkEnd w:id="3"/>
      <w:r>
        <w:t xml:space="preserve">2.4. Обязательными </w:t>
      </w:r>
      <w:proofErr w:type="spellStart"/>
      <w:r>
        <w:t>адресообразующими</w:t>
      </w:r>
      <w:proofErr w:type="spellEnd"/>
      <w:r>
        <w:t xml:space="preserve"> элементами для всех видов объектов адресации являются: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страна (Российская Федерация);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субъект Российской Федерации (Республики Тыва);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в) </w:t>
      </w:r>
      <w:r w:rsidR="00D208FC">
        <w:t>муниципальный район (муниципальный район "Чаа-Хольский кожуун Республики Тыва") и наименование сельского поселения.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2.5. Иные </w:t>
      </w:r>
      <w:proofErr w:type="spellStart"/>
      <w:r>
        <w:t>адресообразующие</w:t>
      </w:r>
      <w:proofErr w:type="spellEnd"/>
      <w:r>
        <w:t xml:space="preserve"> элементы применяются в зависимости от вида </w:t>
      </w:r>
      <w:r>
        <w:lastRenderedPageBreak/>
        <w:t>объекта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2.6. Структура адреса земельного участка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w:anchor="P73">
        <w:r>
          <w:rPr>
            <w:color w:val="0000FF"/>
          </w:rPr>
          <w:t>пункте 2.4</w:t>
        </w:r>
      </w:hyperlink>
      <w:r>
        <w:t xml:space="preserve"> настоящего Положения,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наименование элемента планировочной структуры (при наличии);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наименование элемента улично-дорожной сети (при наличии);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номер земельного участка.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2.7. Структура адреса здания, сооружения или объекта незавершенного строительства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w:anchor="P73">
        <w:r>
          <w:rPr>
            <w:color w:val="0000FF"/>
          </w:rPr>
          <w:t>пункте 2.4</w:t>
        </w:r>
      </w:hyperlink>
      <w:r>
        <w:t xml:space="preserve"> настоящего Положения,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наименование элемента планировочной структуры (при наличии);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наименование элемента улично-дорожной сети (при наличии);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тип и номер здания, сооружения или объекта незавершенного строительства.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2.8. Структура адреса помещения в пределах здания (сооружения)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w:anchor="P73">
        <w:r>
          <w:rPr>
            <w:color w:val="0000FF"/>
          </w:rPr>
          <w:t>пункте 2.4</w:t>
        </w:r>
      </w:hyperlink>
      <w:r>
        <w:t xml:space="preserve"> настоящего Положения,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наименование элемента планировочной структуры (при наличии);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наименование элемента улично-дорожной сети (при наличии);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тип и номер здания, сооружения;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г) тип и номер помещения в пределах здания, сооружения;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д) тип и номер помещения в пределах квартиры (в отношении коммунальных квартир).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2.9.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>
        <w:t>адресообразующих</w:t>
      </w:r>
      <w:proofErr w:type="spellEnd"/>
      <w:r>
        <w:t xml:space="preserve"> элементов устанавливаются </w:t>
      </w:r>
      <w:r w:rsidRPr="003675D5">
        <w:t>Министерством финансов Российской Федерации.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jc w:val="center"/>
        <w:outlineLvl w:val="1"/>
      </w:pPr>
      <w:r>
        <w:t>III. Правила написания наименований</w:t>
      </w:r>
    </w:p>
    <w:p w:rsidR="00E4454F" w:rsidRDefault="00E4454F">
      <w:pPr>
        <w:pStyle w:val="ConsPlusNormal"/>
        <w:jc w:val="center"/>
      </w:pPr>
      <w:r>
        <w:t>и нумерации объектов адресации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ind w:firstLine="540"/>
        <w:jc w:val="both"/>
      </w:pPr>
      <w:r>
        <w:t xml:space="preserve">3.1. В структуре адреса наименования страны, субъекта Российской Федерации, </w:t>
      </w:r>
      <w:r w:rsidR="003675D5">
        <w:t>муниципального района</w:t>
      </w:r>
      <w:r>
        <w:t>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уполномоченного органа на народном языке Республики Тыва.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Наименование </w:t>
      </w:r>
      <w:r w:rsidR="003675D5">
        <w:t>муниципального района и сельского поселения</w:t>
      </w:r>
      <w:r>
        <w:t xml:space="preserve">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Наименования страны и субъектов Российской Федерации должны соответствовать соответствующим наименованиям в </w:t>
      </w:r>
      <w:hyperlink r:id="rId10">
        <w:r>
          <w:rPr>
            <w:color w:val="0000FF"/>
          </w:rPr>
          <w:t>Конституции</w:t>
        </w:r>
      </w:hyperlink>
      <w:r>
        <w:t xml:space="preserve"> Российской Федерации.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3.2.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"-" - дефис;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"." - точка;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"(" - открывающая круглая скобка;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г)")" - закрывающая круглая скобка;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д) "N" - знак номера.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3.3.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3.4.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3.5.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3.6.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FA2B9D" w:rsidRDefault="00E4454F">
      <w:pPr>
        <w:pStyle w:val="ConsPlusNormal"/>
        <w:spacing w:before="280"/>
        <w:ind w:firstLine="540"/>
        <w:jc w:val="both"/>
      </w:pPr>
      <w:r>
        <w:lastRenderedPageBreak/>
        <w:t xml:space="preserve">3.7.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</w:t>
      </w:r>
      <w:r w:rsidRPr="00FA2B9D">
        <w:t xml:space="preserve">Наименования в честь </w:t>
      </w:r>
      <w:r w:rsidR="006C2CD5" w:rsidRPr="00FA2B9D">
        <w:t xml:space="preserve">памяти погибших </w:t>
      </w:r>
      <w:r w:rsidRPr="00FA2B9D">
        <w:t xml:space="preserve">героев </w:t>
      </w:r>
      <w:r w:rsidR="006C2CD5" w:rsidRPr="00FA2B9D">
        <w:t xml:space="preserve">Отечества и участников СВО </w:t>
      </w:r>
      <w:r w:rsidRPr="00FA2B9D">
        <w:t xml:space="preserve">оформляются </w:t>
      </w:r>
      <w:r w:rsidR="00FA2B9D" w:rsidRPr="00FA2B9D">
        <w:t xml:space="preserve">также </w:t>
      </w:r>
      <w:r w:rsidR="00FA2B9D">
        <w:t xml:space="preserve">из имени и фамилии, не заменяется начальными буквами имени и фамилии. </w:t>
      </w:r>
    </w:p>
    <w:p w:rsidR="00E4454F" w:rsidRDefault="00685729">
      <w:pPr>
        <w:pStyle w:val="ConsPlusNormal"/>
        <w:spacing w:before="280"/>
        <w:ind w:firstLine="540"/>
        <w:jc w:val="both"/>
      </w:pPr>
      <w:r>
        <w:t>3.8. Составные части наименований</w:t>
      </w:r>
      <w:r w:rsidR="00E4454F">
        <w:t xml:space="preserve">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3.9.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При формировании номерной части адреса используются арабские цифры и при необходимости буквы русского алфавита, за исключением букв "е", "з", "й", "ъ", "ы" и "ь", а также символ "/" - косая черта.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3.10.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3.11.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</w:t>
      </w:r>
      <w:r w:rsidR="00D002A3">
        <w:t>2</w:t>
      </w:r>
      <w:r>
        <w:t>. Объектам, находящимся на пересечении улиц различных категорий, присваивается адрес по улице более высокой категории.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</w:t>
      </w:r>
      <w:r w:rsidR="00D002A3">
        <w:t>3</w:t>
      </w:r>
      <w:r>
        <w:t xml:space="preserve">. Объектам, находящимся на пересечении улиц равных категорий, присваивается адрес по улице, на которую выходит главный фасад объекта. В случае если на пересечение улиц выходят два равнозначных фасада одного объекта, адрес присваивается по улице, идущей в направлении центра </w:t>
      </w:r>
      <w:r w:rsidR="00720D4E">
        <w:t>сельского поселения</w:t>
      </w:r>
      <w:r>
        <w:t>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</w:t>
      </w:r>
      <w:r w:rsidR="007A6342">
        <w:t>4</w:t>
      </w:r>
      <w:r>
        <w:t>. Присвоение адреса объектам, образующим периметр площади, производится по часовой стрелке начиная от улицы высшей категории. При этом последовательность номеров на сквозных улицах, примыкающих к площадям, прерывается. В случае если угловой объект имеет главный фасад и значительную протяженность вдоль примыкающей улицы, его нумерация производится по улице, а не по площади.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</w:t>
      </w:r>
      <w:r w:rsidR="007A6342">
        <w:t>5</w:t>
      </w:r>
      <w:r>
        <w:t>. На территории земельного участка определяется основное здание, относительно которого осуществляется адресация участка и объектов, расположенных на его территории.</w:t>
      </w:r>
    </w:p>
    <w:p w:rsidR="00E4454F" w:rsidRDefault="007A6342">
      <w:pPr>
        <w:pStyle w:val="ConsPlusNormal"/>
        <w:spacing w:before="280"/>
        <w:ind w:firstLine="540"/>
        <w:jc w:val="both"/>
      </w:pPr>
      <w:r w:rsidRPr="00533BE6">
        <w:t>3.16</w:t>
      </w:r>
      <w:r w:rsidR="00E4454F" w:rsidRPr="00533BE6">
        <w:t xml:space="preserve">. Прочим (не основным) зданиям, расположенным на территории участка, </w:t>
      </w:r>
      <w:r w:rsidR="00E4454F" w:rsidRPr="00533BE6">
        <w:lastRenderedPageBreak/>
        <w:t>присваивается номер основного здания и дополнительно номер корпуса, строения, сооружения. Указатель "корпус", "строение", "сооружение" в адресе определяется в зависимости от функционального назначения объектов с учетом функционального использования территории земельного участка, на котором они расположены, и сложившейся адресации близлежащих объектов.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3.1</w:t>
      </w:r>
      <w:r w:rsidR="007A6342">
        <w:t>7</w:t>
      </w:r>
      <w:r>
        <w:t>. Сооружениям присваивается адрес земельного участка, на котором они расположены, с добавлением указателя "сооружение" и номера сооружения.</w:t>
      </w:r>
    </w:p>
    <w:p w:rsidR="00E4454F" w:rsidRDefault="007A6342">
      <w:pPr>
        <w:pStyle w:val="ConsPlusNormal"/>
        <w:spacing w:before="280"/>
        <w:ind w:firstLine="540"/>
        <w:jc w:val="both"/>
      </w:pPr>
      <w:r>
        <w:t>3.18</w:t>
      </w:r>
      <w:r w:rsidR="00E4454F">
        <w:t>. Нумерация объектов производится от главного въезда на территорию земельного участка по мере удаления от него.</w:t>
      </w:r>
    </w:p>
    <w:p w:rsidR="00E4454F" w:rsidRDefault="007A6342">
      <w:pPr>
        <w:pStyle w:val="ConsPlusNormal"/>
        <w:spacing w:before="280"/>
        <w:ind w:firstLine="540"/>
        <w:jc w:val="both"/>
      </w:pPr>
      <w:r>
        <w:t>3.19</w:t>
      </w:r>
      <w:r w:rsidR="00E4454F">
        <w:t>. Нумерацию объектов, расположенных между двумя уже адресованными объектами с последовательными номерами, - "вставки" объектов - рекомендуется производить, используя меньший номер соответствующего объекта с добавлением к нему литеры русского алфавита.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3.2</w:t>
      </w:r>
      <w:r w:rsidR="007A6342">
        <w:t>0</w:t>
      </w:r>
      <w:r>
        <w:t>. При разделе единого домовладения на самостоятельные домовладения каждому из них устанавливается уникальный адрес. При этом, одному домовладению может быть установлен адрес, повторяющий прежний адрес единого домовладения, а другому - адрес с добавлением к нему буквы (литеры).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3.2</w:t>
      </w:r>
      <w:r w:rsidR="007A6342">
        <w:t>1</w:t>
      </w:r>
      <w:r>
        <w:t>. Помещениям, встроенным, пристроенным, встроенно-пристроенным к объекту и имеющим с ним единое назначение, присваивается адресный номер объекта, частью которого они являются. При этом используется существующая для этого здания система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3.2</w:t>
      </w:r>
      <w:r w:rsidR="007A6342">
        <w:t>2</w:t>
      </w:r>
      <w:r>
        <w:t>. Помещения, имеющие выход в коридор, нумеруются последовательно с четными номерами по одной стороне и нечетными номерами по другой стороне. Помещения, имеющие выход в вестибюли или на лестничные клетки, нумеруются последовательно по часовой стрелке, начиная от главного входа в вестибюль или на лестничную клетку.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3.2</w:t>
      </w:r>
      <w:r w:rsidR="007A6342">
        <w:t>3</w:t>
      </w:r>
      <w:r>
        <w:t>. Встроенным, пристроенным, встроенно-пристроенным помещениям, имеющим иное функциональное назначение, чем здание, может присваиваться самостоятельный адресный номер путем добавления к адресному номеру здания литеры русского алфавита.</w:t>
      </w:r>
    </w:p>
    <w:p w:rsidR="00E4454F" w:rsidRDefault="00E4454F">
      <w:pPr>
        <w:pStyle w:val="ConsPlusNormal"/>
        <w:spacing w:before="280"/>
        <w:ind w:firstLine="540"/>
        <w:jc w:val="both"/>
      </w:pPr>
      <w:r w:rsidRPr="00775BA2">
        <w:t>3.2</w:t>
      </w:r>
      <w:r w:rsidR="007A6342" w:rsidRPr="00775BA2">
        <w:t>4</w:t>
      </w:r>
      <w:r w:rsidRPr="00775BA2">
        <w:t>. Адресная привязка объектов в полосе обустройства объездных автодорог производится с указанием наименования объездной автодороги и существующего километража. Нумерация объектов производится с нечетными номерами по левой стороне и четными номерами по правой.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jc w:val="center"/>
      </w:pPr>
      <w:r>
        <w:t>IV. Порядок присвоения, изменения, аннулирования адресов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ind w:firstLine="540"/>
        <w:jc w:val="both"/>
      </w:pPr>
      <w:bookmarkStart w:id="4" w:name="P135"/>
      <w:bookmarkEnd w:id="4"/>
      <w:r>
        <w:t>4.1. Присвоение объекту адресации адреса осуществляется: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в отношении земельных участков в случаях: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lastRenderedPageBreak/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1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выполнения в отношении земельного участка в соответствии с требованиями, установленными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в отношении зданий, сооружений и объектов незавершенного строительства в случаях: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выдачи (получения) разрешения на строительство здания или сооружения;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4">
        <w:r>
          <w:rPr>
            <w:color w:val="0000FF"/>
          </w:rPr>
          <w:t>кодексом</w:t>
        </w:r>
      </w:hyperlink>
      <w: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в отношении помещений в случаях: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подготовки и оформления в установленном Жилищным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4.2.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4.3.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</w:t>
      </w:r>
      <w:r>
        <w:lastRenderedPageBreak/>
        <w:t>или сооружению.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5" w:name="P147"/>
      <w:bookmarkEnd w:id="5"/>
      <w:r>
        <w:t>4.4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4.5.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6" w:name="P149"/>
      <w:bookmarkEnd w:id="6"/>
      <w:r>
        <w:t>4.6. Аннулирование адреса объекта адресации осуществляется в случаях: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прекращения существования объекта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б) отказа в осуществлении кадастрового учета объекта адресации по основаниям, указанным в </w:t>
      </w:r>
      <w:hyperlink r:id="rId17">
        <w:r>
          <w:rPr>
            <w:color w:val="0000FF"/>
          </w:rPr>
          <w:t>пунктах 1</w:t>
        </w:r>
      </w:hyperlink>
      <w:r>
        <w:t xml:space="preserve"> и </w:t>
      </w:r>
      <w:hyperlink r:id="rId18">
        <w:r>
          <w:rPr>
            <w:color w:val="0000FF"/>
          </w:rPr>
          <w:t>3 части 2 статьи 27</w:t>
        </w:r>
      </w:hyperlink>
      <w:r>
        <w:t xml:space="preserve"> Федерального закона "О государственном кадастре недвижимости";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присвоения объекту адресации нового адреса.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4.7.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9">
        <w:r>
          <w:rPr>
            <w:color w:val="0000FF"/>
          </w:rPr>
          <w:t>частях 4</w:t>
        </w:r>
      </w:hyperlink>
      <w:r>
        <w:t xml:space="preserve"> и </w:t>
      </w:r>
      <w:hyperlink r:id="rId20">
        <w:r>
          <w:rPr>
            <w:color w:val="0000FF"/>
          </w:rPr>
          <w:t>5 статьи 24</w:t>
        </w:r>
      </w:hyperlink>
      <w:r>
        <w:t xml:space="preserve"> Федерального закона "О государственном кадастре недвижимости", из государственного кадастра недвижимости.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4.8.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4.9.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7" w:name="P156"/>
      <w:bookmarkEnd w:id="7"/>
      <w:r>
        <w:t>4.10.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4.11. При присвоении объекту адресации адреса или аннулировании его адреса </w:t>
      </w:r>
      <w:r>
        <w:lastRenderedPageBreak/>
        <w:t>уполномоченный орган обязан: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определить возможность присвоения объекту адресации адреса или аннулирования его адреса;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провести осмотр местонахождения объекта адресации (при необходимости);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 Положением, или об отказе в присвоении объекту адресации адреса или аннулировании его адреса.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4.12.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4.13. Решение уполномоченного органа о присвоении объекту адресации адреса принимается одновременно: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2">
        <w:r>
          <w:rPr>
            <w:color w:val="0000FF"/>
          </w:rPr>
          <w:t>кодексом</w:t>
        </w:r>
      </w:hyperlink>
      <w:r>
        <w:t xml:space="preserve"> Российской Федерации;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г) с утверждением проекта планировки территории;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д) с принятием решения о строительстве объекта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4.14. Решение уполномоченного органа о присвоении объекту адресации адреса содержит: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присвоенный объекту адресации адрес;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реквизиты и наименования документов, на основании которых принято решение о присвоении адреса;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описание местоположения объекта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кадастровые номера, адреса и сведения об объектах недвижимости, из которых образуется объект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аннулируемый адрес объекта адресации и уникальный номер аннулируемого адреса объекта адресации в государственном адресном реестре (в случае </w:t>
      </w:r>
      <w:r>
        <w:lastRenderedPageBreak/>
        <w:t>присвоения нового адреса объекту адресации);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другие необходимые сведения, определенные уполномоченным органом.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4.15. Решение уполномоченного органа об аннулировании адреса объекта адресации содержит: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аннулируемый адрес объекта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уникальный номер аннулируемого адреса объекта адресации в государственном адресном реестре;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причину аннулирования адреса объекта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другие необходимые сведения, определенные уполномоченным органом.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4.16.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4.17.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4.18.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8" w:name="P187"/>
      <w:bookmarkEnd w:id="8"/>
      <w:r>
        <w:t xml:space="preserve">4.19. Заявление о присвоении объекту адресации адреса или об аннулировании его адреса (далее - заявление) подается собственником объекта адресации по </w:t>
      </w:r>
      <w:r>
        <w:lastRenderedPageBreak/>
        <w:t>собственной инициативе либо лицом, обладающим одним из следующих вещных прав на объект адресации: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а) право хозяйственного ведения;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право оперативного управления;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право пожизненно наследуемого владения;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г) право постоянного (бессрочного) пользования.</w:t>
      </w:r>
    </w:p>
    <w:p w:rsidR="00E4454F" w:rsidRDefault="00E4454F" w:rsidP="006C2CD5">
      <w:pPr>
        <w:pStyle w:val="ConsPlusNormal"/>
        <w:spacing w:before="280"/>
        <w:ind w:firstLine="540"/>
        <w:jc w:val="both"/>
      </w:pPr>
      <w:r>
        <w:t xml:space="preserve">4.20. Заявление составляется лицами, указанными в </w:t>
      </w:r>
      <w:hyperlink w:anchor="P187">
        <w:r>
          <w:rPr>
            <w:color w:val="0000FF"/>
          </w:rPr>
          <w:t>пункте 4.19</w:t>
        </w:r>
      </w:hyperlink>
      <w:r>
        <w:t xml:space="preserve"> настоящего Положения (далее - заявитель), по форме, устанавливаемой Министерством финансов Российской Федерации.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9" w:name="P193"/>
      <w:bookmarkEnd w:id="9"/>
      <w:r>
        <w:t>4.21.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4.22.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4.23.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4.24. Заявление подписывается заявителем либо представителем заявителя.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При представлении заявления представителем заявителя к такому заявлению </w:t>
      </w:r>
      <w:r>
        <w:lastRenderedPageBreak/>
        <w:t>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4.25.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10" w:name="P205"/>
      <w:bookmarkEnd w:id="10"/>
      <w:r>
        <w:t>4.26. К заявлению прилагаются следующие документы: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а) правоустанавливающие и (или)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е) решение органа местного самоуправления о переводе жилого помещения в нежилое помещение или нежилого помещения в жилое помещение (в случае </w:t>
      </w:r>
      <w:r>
        <w:lastRenderedPageBreak/>
        <w:t>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E4454F" w:rsidRDefault="00E4454F">
      <w:pPr>
        <w:pStyle w:val="ConsPlusNormal"/>
        <w:spacing w:before="360"/>
        <w:ind w:firstLine="540"/>
        <w:jc w:val="both"/>
      </w:pPr>
      <w:r>
        <w:t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14 настоящих Правил);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14 настоящих Правил).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4.27. Уполномоченный орган запрашивает документы, указанные в </w:t>
      </w:r>
      <w:hyperlink w:anchor="P205">
        <w:r>
          <w:rPr>
            <w:color w:val="0000FF"/>
          </w:rPr>
          <w:t>пункте 4.26</w:t>
        </w:r>
      </w:hyperlink>
      <w:r>
        <w:t xml:space="preserve"> настоящего Положения,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E4454F" w:rsidRDefault="00E4454F">
      <w:pPr>
        <w:pStyle w:val="ConsPlusNormal"/>
        <w:spacing w:before="360"/>
        <w:ind w:firstLine="540"/>
        <w:jc w:val="both"/>
      </w:pPr>
      <w:r>
        <w:t xml:space="preserve">Заявители (представители заявителя) при подаче заявления вправе приложить к нему документы, указанные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Положения, если такие документы не находятся в распоряжении мэрии г. Кызыла либо ее подведомственных организаций.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Документы, указанные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775BA2" w:rsidRDefault="00E4454F" w:rsidP="00775BA2">
      <w:pPr>
        <w:pStyle w:val="ConsPlusNormal"/>
        <w:spacing w:before="280"/>
        <w:ind w:firstLine="540"/>
        <w:jc w:val="both"/>
      </w:pPr>
      <w:r>
        <w:t xml:space="preserve">4.28. Если заявление и документы, указанные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E4454F" w:rsidRDefault="00E4454F" w:rsidP="00775BA2">
      <w:pPr>
        <w:pStyle w:val="ConsPlusNormal"/>
        <w:spacing w:before="280"/>
        <w:ind w:firstLine="540"/>
        <w:jc w:val="both"/>
      </w:pPr>
      <w:r>
        <w:t xml:space="preserve">В случае, если заявление и документы, указанные в </w:t>
      </w:r>
      <w:hyperlink w:anchor="P205">
        <w:r>
          <w:rPr>
            <w:color w:val="0000FF"/>
          </w:rPr>
          <w:t>пункте 4.26</w:t>
        </w:r>
      </w:hyperlink>
      <w:r>
        <w:t xml:space="preserve"> настоящего Положения,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lastRenderedPageBreak/>
        <w:t xml:space="preserve">Получение заявления и документов, указанных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Сообщение о получении заявления и документов, указанных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Сообщение о получении заявления и документов, указанных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11" w:name="P227"/>
      <w:bookmarkEnd w:id="11"/>
      <w:r>
        <w:t>4.29.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12" w:name="P228"/>
      <w:bookmarkEnd w:id="12"/>
      <w:r>
        <w:t xml:space="preserve">4.30. В случае представления заявления через многофункциональный центр срок, указанный в </w:t>
      </w:r>
      <w:hyperlink w:anchor="P227">
        <w:r>
          <w:rPr>
            <w:color w:val="0000FF"/>
          </w:rPr>
          <w:t>пункте 4.29</w:t>
        </w:r>
      </w:hyperlink>
      <w:r>
        <w:t xml:space="preserve"> настоящего Положения, исчисляется со дня передачи многофункциональным центром заявления и документов, указанных в </w:t>
      </w:r>
      <w:hyperlink w:anchor="P205">
        <w:r>
          <w:rPr>
            <w:color w:val="0000FF"/>
          </w:rPr>
          <w:t>4.26</w:t>
        </w:r>
      </w:hyperlink>
      <w:r>
        <w:t xml:space="preserve"> настоящего Положения (при их наличии), в уполномоченный орган.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4.31.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227">
        <w:r>
          <w:rPr>
            <w:color w:val="0000FF"/>
          </w:rPr>
          <w:t>пунктах 4.29</w:t>
        </w:r>
      </w:hyperlink>
      <w:r>
        <w:t xml:space="preserve"> и </w:t>
      </w:r>
      <w:hyperlink w:anchor="P228">
        <w:r>
          <w:rPr>
            <w:color w:val="0000FF"/>
          </w:rPr>
          <w:t>4.30</w:t>
        </w:r>
      </w:hyperlink>
      <w:r>
        <w:t xml:space="preserve"> настоящего Положения;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</w:t>
      </w:r>
      <w:hyperlink w:anchor="P227">
        <w:r>
          <w:rPr>
            <w:color w:val="0000FF"/>
          </w:rPr>
          <w:t>пунктами 4.29</w:t>
        </w:r>
      </w:hyperlink>
      <w:r>
        <w:t xml:space="preserve"> и </w:t>
      </w:r>
      <w:hyperlink w:anchor="P228">
        <w:r>
          <w:rPr>
            <w:color w:val="0000FF"/>
          </w:rPr>
          <w:t>4.30</w:t>
        </w:r>
      </w:hyperlink>
      <w:r>
        <w:t xml:space="preserve"> настоящего Положения срока посредством почтового отправления по указанному в заявлении почтовому адресу.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При наличии в заявлении указания о выдаче решения о присвоении объекту </w:t>
      </w:r>
      <w:r>
        <w:lastRenderedPageBreak/>
        <w:t xml:space="preserve">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227">
        <w:r>
          <w:rPr>
            <w:color w:val="0000FF"/>
          </w:rPr>
          <w:t>пунктами 4.29</w:t>
        </w:r>
      </w:hyperlink>
      <w:r>
        <w:t xml:space="preserve"> и </w:t>
      </w:r>
      <w:hyperlink w:anchor="P228">
        <w:r>
          <w:rPr>
            <w:color w:val="0000FF"/>
          </w:rPr>
          <w:t>4.30</w:t>
        </w:r>
      </w:hyperlink>
      <w:r>
        <w:t xml:space="preserve"> настоящего Положения.</w:t>
      </w:r>
    </w:p>
    <w:p w:rsidR="00E4454F" w:rsidRDefault="00E4454F">
      <w:pPr>
        <w:pStyle w:val="ConsPlusNormal"/>
        <w:spacing w:before="280"/>
        <w:ind w:firstLine="540"/>
        <w:jc w:val="both"/>
      </w:pPr>
      <w:bookmarkStart w:id="13" w:name="P233"/>
      <w:bookmarkEnd w:id="13"/>
      <w:r>
        <w:t>4.32. В присвоении объекту адресации адреса или аннулировании его адреса может быть отказано в случаях, если: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а) с заявлением о присвоении объекту адресации адреса обратилось лицо, не указанное в </w:t>
      </w:r>
      <w:hyperlink w:anchor="P187">
        <w:r>
          <w:rPr>
            <w:color w:val="0000FF"/>
          </w:rPr>
          <w:t>пунктах 4.19</w:t>
        </w:r>
      </w:hyperlink>
      <w:r>
        <w:t xml:space="preserve"> и </w:t>
      </w:r>
      <w:hyperlink w:anchor="P193">
        <w:r>
          <w:rPr>
            <w:color w:val="0000FF"/>
          </w:rPr>
          <w:t>4.21</w:t>
        </w:r>
      </w:hyperlink>
      <w:r>
        <w:t xml:space="preserve"> настоящего Положения;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w:anchor="P135">
        <w:r>
          <w:rPr>
            <w:color w:val="0000FF"/>
          </w:rPr>
          <w:t>пунктах 4.1</w:t>
        </w:r>
      </w:hyperlink>
      <w:r>
        <w:t xml:space="preserve"> - </w:t>
      </w:r>
      <w:hyperlink w:anchor="P147">
        <w:r>
          <w:rPr>
            <w:color w:val="0000FF"/>
          </w:rPr>
          <w:t>4.4</w:t>
        </w:r>
      </w:hyperlink>
      <w:r>
        <w:t xml:space="preserve"> и </w:t>
      </w:r>
      <w:hyperlink w:anchor="P149">
        <w:r>
          <w:rPr>
            <w:color w:val="0000FF"/>
          </w:rPr>
          <w:t>4.6</w:t>
        </w:r>
      </w:hyperlink>
      <w:r>
        <w:t xml:space="preserve"> - </w:t>
      </w:r>
      <w:hyperlink w:anchor="P156">
        <w:r>
          <w:rPr>
            <w:color w:val="0000FF"/>
          </w:rPr>
          <w:t>4.10</w:t>
        </w:r>
      </w:hyperlink>
      <w:r>
        <w:t xml:space="preserve"> настоящего Положения.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 xml:space="preserve">4.33.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233">
        <w:r>
          <w:rPr>
            <w:color w:val="0000FF"/>
          </w:rPr>
          <w:t>пункта 4.32</w:t>
        </w:r>
      </w:hyperlink>
      <w:r>
        <w:t xml:space="preserve"> настоящего Положения, являющиеся основанием для принятия такого решения.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4.34.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E4454F" w:rsidRDefault="00E4454F">
      <w:pPr>
        <w:pStyle w:val="ConsPlusNormal"/>
        <w:spacing w:before="280"/>
        <w:ind w:firstLine="540"/>
        <w:jc w:val="both"/>
      </w:pPr>
      <w:r>
        <w:t>4.35.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jc w:val="both"/>
      </w:pPr>
    </w:p>
    <w:p w:rsidR="00E4454F" w:rsidRDefault="00E4454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0909" w:rsidRDefault="00400909"/>
    <w:sectPr w:rsidR="00400909" w:rsidSect="00B967CE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D34A8F"/>
    <w:multiLevelType w:val="multilevel"/>
    <w:tmpl w:val="307EA14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54F"/>
    <w:rsid w:val="000731A5"/>
    <w:rsid w:val="000D1315"/>
    <w:rsid w:val="001E6833"/>
    <w:rsid w:val="001E71DB"/>
    <w:rsid w:val="0020571F"/>
    <w:rsid w:val="003675D5"/>
    <w:rsid w:val="00400909"/>
    <w:rsid w:val="00533BE6"/>
    <w:rsid w:val="0054709E"/>
    <w:rsid w:val="005E23B8"/>
    <w:rsid w:val="00685729"/>
    <w:rsid w:val="006B50E2"/>
    <w:rsid w:val="006C2CD5"/>
    <w:rsid w:val="00720D4E"/>
    <w:rsid w:val="00775BA2"/>
    <w:rsid w:val="007A6342"/>
    <w:rsid w:val="008A4508"/>
    <w:rsid w:val="0099025A"/>
    <w:rsid w:val="00A1517F"/>
    <w:rsid w:val="00A53228"/>
    <w:rsid w:val="00B9331A"/>
    <w:rsid w:val="00B967CE"/>
    <w:rsid w:val="00BD3F8D"/>
    <w:rsid w:val="00D002A3"/>
    <w:rsid w:val="00D208FC"/>
    <w:rsid w:val="00E4454F"/>
    <w:rsid w:val="00EC055D"/>
    <w:rsid w:val="00FA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DD40F-9A5F-49F2-8F77-08D4E286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D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454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Title">
    <w:name w:val="ConsPlusTitle"/>
    <w:rsid w:val="00E4454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E445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67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BA9DE2F378532468556C06B8F646D283609B2C8158C9D34A9E3CE6BE2B494851F61057168EB38D0A43386A0D9ACA3ED84E34BEF2100406C4CE49w2n9J" TargetMode="External"/><Relationship Id="rId13" Type="http://schemas.openxmlformats.org/officeDocument/2006/relationships/hyperlink" Target="consultantplus://offline/ref=20BA9DE2F37853246855720BAE9A1CDC8368C1268351CB8017C167BBE922431F04B911195384AC8D0E59386904wCnDJ" TargetMode="External"/><Relationship Id="rId18" Type="http://schemas.openxmlformats.org/officeDocument/2006/relationships/hyperlink" Target="consultantplus://offline/ref=20BA9DE2F37853246855720BAE9A1CDC8368C1268351CB8017C167BBE922431F16B949155288E6DC4F12376801D09B7F934135BBwEnF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0BA9DE2F37853246855720BAE9A1CDC836FC3208B55CB8017C167BBE922431F04B911195384AC8D0E59386904wCnDJ" TargetMode="External"/><Relationship Id="rId7" Type="http://schemas.openxmlformats.org/officeDocument/2006/relationships/hyperlink" Target="consultantplus://offline/ref=20BA9DE2F37853246855720BAE9A1CDC8369C6298A55CB8017C167BBE922431F16B949155283B28D034C6E38429B967B8A5D35BCF212011AwCn5J" TargetMode="External"/><Relationship Id="rId12" Type="http://schemas.openxmlformats.org/officeDocument/2006/relationships/hyperlink" Target="consultantplus://offline/ref=20BA9DE2F37853246855720BAE9A1CDC8368C1268351CB8017C167BBE922431F04B911195384AC8D0E59386904wCnDJ" TargetMode="External"/><Relationship Id="rId17" Type="http://schemas.openxmlformats.org/officeDocument/2006/relationships/hyperlink" Target="consultantplus://offline/ref=20BA9DE2F37853246855720BAE9A1CDC8368C1268351CB8017C167BBE922431F16B949155283B08E024C6E38429B967B8A5D35BCF212011AwCn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0BA9DE2F37853246855720BAE9A1CDC8368C1268351CB8017C167BBE922431F04B911195384AC8D0E59386904wCnDJ" TargetMode="External"/><Relationship Id="rId20" Type="http://schemas.openxmlformats.org/officeDocument/2006/relationships/hyperlink" Target="consultantplus://offline/ref=20BA9DE2F37853246855720BAE9A1CDC8368C1268351CB8017C167BBE922431F16B949135088E6DC4F12376801D09B7F934135BBwEnF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BA9DE2F37853246855720BAE9A1CDC8368CC208B54CB8017C167BBE922431F16B949105285B9D95A036F6407C9857A885D37B9EEw1n3J" TargetMode="External"/><Relationship Id="rId11" Type="http://schemas.openxmlformats.org/officeDocument/2006/relationships/hyperlink" Target="consultantplus://offline/ref=20BA9DE2F37853246855720BAE9A1CDC836FC3208B57CB8017C167BBE922431F04B911195384AC8D0E59386904wCnDJ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20BA9DE2F37853246855720BAE9A1CDC836FC3208B53CB8017C167BBE922431F04B911195384AC8D0E59386904wCnD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0BA9DE2F37853246855720BAE9A1CDC8563C22489069C82469469BEE172190F00F045134C83B793094738w6nAJ" TargetMode="External"/><Relationship Id="rId19" Type="http://schemas.openxmlformats.org/officeDocument/2006/relationships/hyperlink" Target="consultantplus://offline/ref=20BA9DE2F37853246855720BAE9A1CDC8368C1268351CB8017C167BBE922431F16B949175685B9D95A036F6407C9857A885D37B9EEw1n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BA9DE2F378532468556D1EAB9A1CDC856CC42289069C82469469BEE172190F00F045134C83B793094738w6nAJ" TargetMode="External"/><Relationship Id="rId14" Type="http://schemas.openxmlformats.org/officeDocument/2006/relationships/hyperlink" Target="consultantplus://offline/ref=20BA9DE2F37853246855720BAE9A1CDC836FC3208B57CB8017C167BBE922431F04B911195384AC8D0E59386904wCnDJ" TargetMode="External"/><Relationship Id="rId22" Type="http://schemas.openxmlformats.org/officeDocument/2006/relationships/hyperlink" Target="consultantplus://offline/ref=20BA9DE2F37853246855720BAE9A1CDC836FC3208B57CB8017C167BBE922431F04B911195384AC8D0E59386904wCn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17</Pages>
  <Words>5977</Words>
  <Characters>34071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Бузур-оол А.А.</dc:creator>
  <cp:keywords/>
  <dc:description/>
  <cp:lastModifiedBy>ХУРАЛ</cp:lastModifiedBy>
  <cp:revision>16</cp:revision>
  <cp:lastPrinted>2023-05-26T03:27:00Z</cp:lastPrinted>
  <dcterms:created xsi:type="dcterms:W3CDTF">2023-05-17T09:39:00Z</dcterms:created>
  <dcterms:modified xsi:type="dcterms:W3CDTF">2023-06-01T05:54:00Z</dcterms:modified>
</cp:coreProperties>
</file>